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a941e2142f93491c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c="http://schemas.openxmlformats.org/drawingml/2006/chart">
  <w:body>
    <w:sectPr w:rsidR="003E25F4" w:rsidSect="00FC3028">
      <w:pgSz w:w="21120" w:h="16320"/>
      <w:pgMar w:top="1520" w:right="1920" w:bottom="560" w:left="1920" w:header="708" w:footer="708" w:gutter="0"/>
      <w:cols w:space="708"/>
      <w:docGrid w:linePitch="360"/>
      <w:footerReference w:type="default" r:id="R3e7f6dd1f6704be1"/>
      <w:footerReference w:type="even" r:id="Rc844ed86f8dd41d7"/>
      <w:footerReference w:type="first" r:id="R2e7c325f2cc84651"/>
    </w:sectPr>
    <w:p>
      <w:pPr>
        <w:spacing w:after="720"/>
      </w:pPr>
      <w:r xmlns:w="http://schemas.openxmlformats.org/wordprocessingml/2006/main">
        <drawing xmlns="http://schemas.openxmlformats.org/wordprocessingml/2006/main">
          <wp:inline xmlns:wp="http://schemas.openxmlformats.org/drawingml/2006/wordprocessingDrawing" distT="0" distB="0" distL="0" distR="0">
            <wp:extent cx="1143000" cy="723900"/>
            <wp:effectExtent l="0" t="0" r="0" b="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2225875170a5410d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drawing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xmlns:w="http://schemas.openxmlformats.org/wordprocessingml/2006/main">
        <drawing xmlns="http://schemas.openxmlformats.org/wordprocessingml/2006/main">
          <wp:inline xmlns:wp="http://schemas.openxmlformats.org/drawingml/2006/wordprocessingDrawing" distT="0" distB="0" distL="0" distR="0">
            <wp:extent cx="1466850" cy="428625"/>
            <wp:effectExtent l="0" t="0" r="0" b="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51558c955f70445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drawing>
      </w:r>
    </w:p>
    <w:p>
      <w:pPr>
        <w:jc w:val="center"/>
      </w:pPr>
      <w:r>
        <w:rPr>
          <w:rFonts w:ascii="[FontFamily: Name=Calibri]" w:hAnsi="[FontFamily: Name=Calibri]" w:cs="[FontFamily: Name=Calibri]" w:eastAsia="[FontFamily: Name=Calibri]"/>
          <w:sz w:val="56"/>
          <w:szCs w:val="56"/>
        </w:rPr>
        <w:t>UN Women Strategic Note 2019-2020</w:t>
      </w:r>
    </w:p>
    <w:p>
      <w:pPr>
        <w:jc w:val="center"/>
      </w:pPr>
      <w:r>
        <w:rPr>
          <w:b/>
          <w:caps/>
          <w:rFonts w:ascii="[FontFamily: Name=Calibri]" w:hAnsi="[FontFamily: Name=Calibri]" w:cs="[FontFamily: Name=Calibri]" w:eastAsia="[FontFamily: Name=Calibri]"/>
          <w:sz w:val="32"/>
          <w:szCs w:val="32"/>
          <w:color w:val="009CDB"/>
        </w:rPr>
        <w:t>UN WOMEN Indonesia COUNTRY OFFICE</w:t>
      </w:r>
    </w:p>
    <w:p>
      <w:pPr>
        <w:jc w:val="center"/>
        <w:spacing w:after="600"/>
      </w:pPr>
      <w:r>
        <w:rPr>
          <w:sz w:val="32"/>
          <w:szCs w:val="32"/>
          <w:b/>
          <w:color w:val="009CDB"/>
        </w:rPr>
        <w:t>SN REPORT 2020</w:t>
      </w:r>
    </w:p>
    <w:p>
      <w:pPr>
        <w:spacing w:after="360"/>
      </w:pPr>
      <w:r>
        <w:rPr>
          <w:rFonts w:ascii="[FontFamily: Name=Calibri]" w:hAnsi="[FontFamily: Name=Calibri]" w:cs="[FontFamily: Name=Calibri]" w:eastAsia="[FontFamily: Name=Calibri]"/>
          <w:sz w:val="32"/>
          <w:szCs w:val="32"/>
          <w:b/>
        </w:rPr>
        <w:t>The report includes:</w:t>
      </w:r>
    </w:p>
    <w:p>
      <w:pPr/>
      <w:r>
        <w:rPr>
          <w:b/>
          <w:rFonts w:ascii="[FontFamily: Name=Calibri]" w:hAnsi="[FontFamily: Name=Calibri]" w:cs="[FontFamily: Name=Calibri]" w:eastAsia="[FontFamily: Name=Calibri]"/>
          <w:sz w:val="32"/>
          <w:szCs w:val="32"/>
          <w:color w:val="009CDB"/>
        </w:rPr>
        <w:t>Organizational effectiveness and efficiency (OEE)</w:t>
      </w:r>
    </w:p>
    <w:p>
      <w:pPr/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br/>
      </w:r>
      <w:r>
        <w:rPr>
          <w:rFonts w:ascii="[FontFamily: Name=Calibri]" w:hAnsi="[FontFamily: Name=Calibri]" w:cs="[FontFamily: Name=Calibri]" w:eastAsia="[FontFamily: Name=Calibri]"/>
          <w:sz w:val="28"/>
          <w:szCs w:val="28"/>
          <w:color w:val="C00000"/>
        </w:rPr>
        <w:t>Report Date: 5/13/2020</w:t>
      </w:r>
    </w:p>
    <w:p>
      <w:r>
        <w:br w:type="page"/>
      </w:r>
    </w:p>
    <w:tbl>
      <w:tblPr>
        <w:tblStyle w:val="TableGrid"/>
        <w:tblW w:w="5000" w:type="auto"/>
        <w:tblLook w:val="04A0"/>
        <w:tblLayout w:type="fixed"/>
        <w:jc w:val="center"/>
      </w:tblPr>
      <w:tr>
        <w:tc>
          <w:tcPr>
            <w:tcW w:w="40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Outputs</w:t>
            </w:r>
          </w:p>
        </w:tc>
        <w:tc>
          <w:tcPr>
            <w:tcW w:w="60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Indicators with  targets for each year and  baselines</w:t>
            </w:r>
          </w:p>
        </w:tc>
        <w:tc>
          <w:tcPr>
            <w:tcW w:w="7280" w:type="dxa"/>
            <w:gridSpan w:val="3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Indicative resources per output (showing core and non-core)</w:t>
            </w:r>
          </w:p>
        </w:tc>
      </w:tr>
      <w:tr>
        <w:tc>
          <w:tcPr>
            <w:tcW w:w="10000" w:type="dxa"/>
            <w:gridSpan w:val="2"/>
            <w:shd w:val="clear" w:color="auto" w:fill="DEEAF6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cluster from SP:SP OEE Output 1 : Enhanced coordination, coherence and accountability of the UN system for commitments to gender equality and women’s empowerment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</w:p>
        </w:tc>
        <w:tc>
          <w:tcPr>
            <w:tcW w:w="16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Total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1.1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GTWG (led by UNFPA &amp; UN Women)  effectively supports UN coordination to advance GEWE in its work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1.1A: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joint actions in support of GEWE initiated/coordinated by GTWG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1.1B: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joint programmes primarily targeting GEWE results implemented by the UN in Indonesia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1.1C: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inputs to global frameworks (CEDAW, CSW, BPfA, SDG, SG reports etc.) prepared in a coordinated way supported by UN Women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1.2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UN Agencies and key stakeholders have access to knowledge and tools to mainstream gender equality into their policies/programmes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1.2A: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events organized to present new information relevant to promoting GEWE supported by UN Women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1.2B: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UN produced knowledge products/publications/analyses on GEWE related themes with UN Women's support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1.2C: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catalogues of gender relevant information available in the UN Indonesia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1.3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UN Women effectively supports the accountability of the UN for commitments to GEWE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1.3A: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inputs/initiatives supported by UN Women to mainstream gender in the new UNPDF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1.3B: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gender sensitive indicators in the UNPDF monitoring framework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10000" w:type="dxa"/>
            <w:gridSpan w:val="2"/>
            <w:shd w:val="clear" w:color="auto" w:fill="DEEAF6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cluster from SP:SP OEE Output 2 : Increased engagement of partners in support of UN-Women’s mandate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</w:p>
        </w:tc>
        <w:tc>
          <w:tcPr>
            <w:tcW w:w="16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Total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2.1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UN Women creates a strong partnership with different actors to drive the movement for social norms change, including transforming harmful and/or discriminatory practices for women and girls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2.1A: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different types of stakeholders involved in the multi-stakeholder advocacy platform on changing social norms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2.1B: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non-traditional partners who were approached for cooperation/number of those with whom cooperation materialized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2.1C: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donors committed to support specific interventions targeting the transformation of social norms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2.2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Effective advocacy supports the transformation of social norms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2.2A: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Existence of a mapping of the options for optimal use of social media and other communication technologies for the advocacy towards attitude/behavior change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2.2B: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campaigns/events supported by UN Women with messaging on the social norms transformation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2.2C: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and type of advocacy material produced to support the advocacy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10000" w:type="dxa"/>
            <w:gridSpan w:val="2"/>
            <w:shd w:val="clear" w:color="auto" w:fill="DEEAF6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cluster from SP:SP OEE Output 3 : High quality of programmes through knowledge, innovation, results-based management and evaluation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</w:p>
        </w:tc>
        <w:tc>
          <w:tcPr>
            <w:tcW w:w="16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Total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3.1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UN Women generates, manages and uses knowledge for high-quality programming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3.1A: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UN Women produced analyses/mappings/reviews to be used to inform programming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3.1B: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Existence of a regularly updated repository of knowledge/analysis/information produced by the office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3.1C: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instances when the analysis/mapping/reviews were used to inform UN Women programming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3.2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UN Women develops and thoroughly implements mechanisms providing feedback on the effectiveness of its work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3.2A: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Existence of the intra-office SOP on standards of monitoring/programme feedback - monitoring activities their timing/frequency, tools, roles of individual staff members, preparatory documents, etc.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3.2B: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internal learning interventions held and documented (team retreats with feedback/learning components, after-action reviews, impact studies, internal coaching by staff for staff, brown bag lunches, etc.)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3.2C: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documented achievements and lessons learned produced as a result of the implementation of feedback mechanisms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15,395.00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15,000.00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30,395.00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3.3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High-quality reporting supports delivery of results and financial stability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3.3A: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donor reports submitted on time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3.3B: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donor reports receiving good quality rating from donors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3.3C: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Rating of corporate annual report based on the annual assessment of SNs and ARs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good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good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10000" w:type="dxa"/>
            <w:gridSpan w:val="2"/>
            <w:shd w:val="clear" w:color="auto" w:fill="DEEAF6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cluster from SP:SP OEE Output 4 : Improved management of financial and human resources in pursuit of results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</w:p>
        </w:tc>
        <w:tc>
          <w:tcPr>
            <w:tcW w:w="284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Year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</w:p>
        </w:tc>
        <w:tc>
          <w:tcPr>
            <w:tcW w:w="1600" w:type="dxa"/>
            <w:shd w:val="clear" w:color="auto" w:fill="DEEAF6"/>
          </w:tcPr>
          <w:p>
            <w:pPr>
              <w:jc w:val="center"/>
            </w:pP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Total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4.1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Sound management of human resources supports delivery of results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4.1A: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standard CO staff positions filled enabling effective implementation of the ICF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80%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4.1B: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staff performance reviews done on time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4.1C: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Existence of internal control framework for the country office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N/A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Available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Available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415,000.00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415,000.00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830,000.00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4.2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Sound management of financial resources supports delivery of results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Delivery rate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4.2B: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Management ratio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4.2C: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Average turnaround time for processing payments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4.2D: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women owned businesses addressed/encouraged to participate in procurement processes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5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10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Percentage of available core vs. non-core resources annually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20.24% &amp; 79.76%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Notes: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Core: 20.24%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Non-core: 79.76%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20% &amp; 80%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2010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20% &amp; 80%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4.2F: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Number of donors providing non-core resources to UN Women Indonesia in amount larger than USD 100,000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Notes: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Additional 1 donor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81,500.00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71,500.00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153,000.00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  <w:tr>
        <w:tc>
          <w:tcPr>
            <w:tcW w:w="4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Output 4.3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Compliance with security standards and procedures</w:t>
            </w:r>
          </w:p>
        </w:tc>
        <w:tc>
          <w:tcPr>
            <w:tcW w:w="6000" w:type="dxa"/>
          </w:tcPr>
          <w:p>
            <w:pPr/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Indicator 4.3A: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Safety security and risk management is implemented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Baseline: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No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2018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  <w:b/>
              </w:rPr>
              <w:t xml:space="preserve">Targets: 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Yes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2019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Value: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Yes</w:t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b/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 xml:space="preserve">Target Year: 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2020</w:t>
            </w:r>
            <w:r>
              <w:br/>
            </w:r>
            <w: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6,105.00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284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6,500.00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</w:p>
        </w:tc>
        <w:tc>
          <w:tcPr>
            <w:tcW w:w="1600" w:type="dxa"/>
          </w:tcPr>
          <w:p>
            <w:pPr/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12,605.00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(core)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0.00</w:t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br/>
            </w:r>
            <w:r>
              <w:rPr>
                <w:rFonts w:ascii="[FontFamily: Name=Calibri]" w:hAnsi="[FontFamily: Name=Calibri]" w:cs="[FontFamily: Name=Calibri]" w:eastAsia="[FontFamily: Name=Calibri]"/>
                <w:sz w:val="18"/>
                <w:szCs w:val="18"/>
              </w:rPr>
              <w:t>(non-core)</w:t>
            </w:r>
          </w:p>
        </w:tc>
      </w:tr>
    </w:tbl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Page (</w:t>
    </w:r>
    <w:fldSimple w:instr=" PAGE   \* MERGEFORMAT ">
      <w:r xmlns:w="http://schemas.openxmlformats.org/wordprocessingml/2006/main" w:rsidR="001D0226">
        <w:rPr>
          <w:noProof/>
        </w:rPr>
        <w:t>1</w:t>
      </w:r>
    </w:fldSimple>
    <w:r>
      <w:t xml:space="preserve"> of </w:t>
    </w:r>
    <w:fldSimple w:instr=" NUMPAGES   \* MERGEFORMAT ">
      <w:r xmlns:w="http://schemas.openxmlformats.org/wordprocessingml/2006/main" w:rsidR="001D0226">
        <w:rPr>
          <w:noProof/>
        </w:rPr>
        <w:t>1</w:t>
      </w:r>
    </w:fldSimple>
    <w:r>
      <w:t>)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17F62"/>
    <w:rsid w:val="001915A3"/>
    <w:rsid w:val="00217F62"/>
    <w:rsid w:val="00A906D8"/>
    <w:rsid w:val="00AB5A74"/>
    <w:rsid w:val="00F07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Heading1">
    <w:name w:val="heading 1"/>
    <w:basedOn w:val="Normal"/>
    <w:next w:val="Normal"/>
    <w:link w:val="Heading1Char"/>
    <w:uiPriority w:val="9"/>
    <w:qFormat/>
    <w:rsid w:val="00263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default="1" w:styleId="Normal">
    <w:name w:val="Normal"/>
    <w:qFormat/>
    <w:rsid w:val="00B34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01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b37a9cfae5ce46fa" Type="http://schemas.openxmlformats.org/officeDocument/2006/relationships/styles" Target="/word/styles.xml"/><Relationship Id="R2225875170a5410d" Type="http://schemas.openxmlformats.org/officeDocument/2006/relationships/image" Target="/word/media/ac002b9c-7814-4365-955f-23c80620fbfd.jpeg"/><Relationship Id="R3e7f6dd1f6704be1" Type="http://schemas.openxmlformats.org/officeDocument/2006/relationships/footer" Target="/word/footer1.xml"/><Relationship Id="rId3" Type="http://schemas.openxmlformats.org/officeDocument/2006/relationships/customXml" Target="../customXml/item3.xml"/><Relationship Id="R21aee8dd14634832" Type="http://schemas.openxmlformats.org/officeDocument/2006/relationships/settings" Target="/word/settings.xml"/><Relationship Id="rId2" Type="http://schemas.openxmlformats.org/officeDocument/2006/relationships/customXml" Target="../customXml/item2.xml"/><Relationship Id="R51558c955f704455" Type="http://schemas.openxmlformats.org/officeDocument/2006/relationships/image" Target="/word/media/fd62bc49-4a00-4d2b-9394-ad93c53c8ca0.jpeg"/><Relationship Id="rId1" Type="http://schemas.openxmlformats.org/officeDocument/2006/relationships/customXml" Target="../customXml/item1.xml"/><Relationship Id="R5681082ea91f4c9c" Type="http://schemas.openxmlformats.org/officeDocument/2006/relationships/numbering" Target="/word/numbering.xml"/><Relationship Id="Rc844ed86f8dd41d7" Type="http://schemas.openxmlformats.org/officeDocument/2006/relationships/footer" Target="/word/footer2.xml"/><Relationship Id="R2e7c325f2cc84651" Type="http://schemas.openxmlformats.org/officeDocument/2006/relationships/footer" Target="/word/footer3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73880CBB3B143B8482C01086D00A5" ma:contentTypeVersion="13" ma:contentTypeDescription="Create a new document." ma:contentTypeScope="" ma:versionID="8a2e73ae16b22958edb0962785feb1c9">
  <xsd:schema xmlns:xsd="http://www.w3.org/2001/XMLSchema" xmlns:xs="http://www.w3.org/2001/XMLSchema" xmlns:p="http://schemas.microsoft.com/office/2006/metadata/properties" xmlns:ns2="2460734d-59bd-428b-881b-8dfef55a5bef" xmlns:ns3="1d79e625-5769-4e01-b48b-1e20633cc44a" targetNamespace="http://schemas.microsoft.com/office/2006/metadata/properties" ma:root="true" ma:fieldsID="7742bf54f4bcc0a7ea51c2f584c79e87" ns2:_="" ns3:_="">
    <xsd:import namespace="2460734d-59bd-428b-881b-8dfef55a5bef"/>
    <xsd:import namespace="1d79e625-5769-4e01-b48b-1e20633cc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0734d-59bd-428b-881b-8dfef55a5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Reviewed" ma:index="20" nillable="true" ma:displayName="Reviewed" ma:default="0" ma:format="Dropdown" ma:internalName="Review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9e625-5769-4e01-b48b-1e20633cc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ed xmlns="2460734d-59bd-428b-881b-8dfef55a5bef">false</Reviewed>
  </documentManagement>
</p:properties>
</file>

<file path=customXml/itemProps1.xml><?xml version="1.0" encoding="utf-8"?>
<ds:datastoreItem xmlns:ds="http://schemas.openxmlformats.org/officeDocument/2006/customXml" ds:itemID="{EFEE0C65-272C-4063-8F12-6FDA4087B825}"/>
</file>

<file path=customXml/itemProps2.xml><?xml version="1.0" encoding="utf-8"?>
<ds:datastoreItem xmlns:ds="http://schemas.openxmlformats.org/officeDocument/2006/customXml" ds:itemID="{05246466-9186-4C87-8C3A-81474FABE684}"/>
</file>

<file path=customXml/itemProps3.xml><?xml version="1.0" encoding="utf-8"?>
<ds:datastoreItem xmlns:ds="http://schemas.openxmlformats.org/officeDocument/2006/customXml" ds:itemID="{A68C66E0-E60A-4353-ADCF-447F135C0597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0x010100FC273880CBB3B143B8482C01086D00A5</vt:lpwstr>
  </property>
</Properties>
</file>