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4 -->
  <w:body>
    <w:p w:rsidR="00B75C79">
      <w:r>
        <w:rPr>
          <w:noProof/>
        </w:rPr>
        <w:drawing>
          <wp:anchor distT="0" distB="0" distL="114300" distR="114300" simplePos="0" relativeHeight="251658240" behindDoc="1" locked="0" layoutInCell="1" allowOverlap="1">
            <wp:simplePos x="0" y="0"/>
            <wp:positionH relativeFrom="column">
              <wp:posOffset>5981700</wp:posOffset>
            </wp:positionH>
            <wp:positionV relativeFrom="paragraph">
              <wp:posOffset>153670</wp:posOffset>
            </wp:positionV>
            <wp:extent cx="1599565" cy="475615"/>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799578" name="New Bitmap Image.jp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599565" cy="475615"/>
                    </a:xfrm>
                    <a:prstGeom prst="rect">
                      <a:avLst/>
                    </a:prstGeom>
                  </pic:spPr>
                </pic:pic>
              </a:graphicData>
            </a:graphic>
          </wp:anchor>
        </w:drawing>
      </w:r>
      <w:r w:rsidR="00717011">
        <w:rPr>
          <w:noProof/>
        </w:rPr>
        <w:drawing>
          <wp:inline distT="0" distB="0" distL="0" distR="0">
            <wp:extent cx="1275000" cy="75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45515" name="New Bitmap Image.jpg"/>
                    <pic:cNvPicPr/>
                  </pic:nvPicPr>
                  <pic:blipFill>
                    <a:blip xmlns:r="http://schemas.openxmlformats.org/officeDocument/2006/relationships" r:embed="rId7" cstate="print"/>
                    <a:stretch>
                      <a:fillRect/>
                    </a:stretch>
                  </pic:blipFill>
                  <pic:spPr>
                    <a:xfrm>
                      <a:off x="0" y="0"/>
                      <a:ext cx="2550000" cy="1500000"/>
                    </a:xfrm>
                    <a:prstGeom prst="rect">
                      <a:avLst/>
                    </a:prstGeom>
                  </pic:spPr>
                </pic:pic>
              </a:graphicData>
            </a:graphic>
          </wp:inline>
        </w:drawing>
      </w:r>
    </w:p>
    <w:p w:rsidR="00B75C79">
      <w:pPr>
        <w:jc w:val="center"/>
      </w:pPr>
      <w:r>
        <w:br/>
      </w:r>
      <w:r>
        <w:rPr>
          <w:rFonts w:ascii="Calibri" w:hAnsi="Calibri"/>
          <w:sz w:val="56"/>
        </w:rPr>
        <w:t xml:space="preserve">UN Women Strategic Note </w:t>
      </w:r>
      <w:r w:rsidR="00C07D60">
        <w:rPr>
          <w:rFonts w:ascii="Calibri" w:hAnsi="Calibri"/>
          <w:noProof/>
          <w:sz w:val="56"/>
        </w:rPr>
        <w:t>2019</w:t>
      </w:r>
      <w:r>
        <w:rPr>
          <w:rFonts w:ascii="Calibri" w:hAnsi="Calibri"/>
          <w:sz w:val="56"/>
        </w:rPr>
        <w:t>-</w:t>
      </w:r>
      <w:r w:rsidR="00C07D60">
        <w:rPr>
          <w:rFonts w:ascii="Calibri" w:hAnsi="Calibri"/>
          <w:noProof/>
          <w:sz w:val="56"/>
        </w:rPr>
        <w:t>2020</w:t>
      </w:r>
    </w:p>
    <w:p w:rsidR="00B75C79">
      <w:pPr>
        <w:jc w:val="center"/>
      </w:pPr>
      <w:r>
        <w:rPr>
          <w:rFonts w:ascii="Calibri" w:hAnsi="Calibri"/>
          <w:b/>
          <w:caps/>
          <w:color w:val="0099CC"/>
          <w:sz w:val="32"/>
        </w:rPr>
        <w:t xml:space="preserve">UN WOMEN </w:t>
      </w:r>
      <w:r w:rsidR="00C07D60">
        <w:rPr>
          <w:rFonts w:ascii="Calibri" w:hAnsi="Calibri"/>
          <w:b/>
          <w:noProof/>
          <w:color w:val="0099CC"/>
          <w:sz w:val="32"/>
        </w:rPr>
        <w:t>INDONESIA</w:t>
      </w:r>
      <w:r>
        <w:rPr>
          <w:rFonts w:ascii="Calibri" w:hAnsi="Calibri"/>
          <w:b/>
          <w:caps/>
          <w:color w:val="0099CC"/>
          <w:sz w:val="32"/>
        </w:rPr>
        <w:t xml:space="preserve"> </w:t>
      </w:r>
      <w:r w:rsidR="00527AD0">
        <w:rPr>
          <w:rFonts w:ascii="Calibri" w:hAnsi="Calibri"/>
          <w:b/>
          <w:noProof/>
          <w:color w:val="0099CC"/>
          <w:sz w:val="32"/>
        </w:rPr>
        <w:t>COUNTRY</w:t>
      </w:r>
      <w:r>
        <w:rPr>
          <w:rFonts w:ascii="Calibri" w:hAnsi="Calibri"/>
          <w:b/>
          <w:caps/>
          <w:color w:val="0099CC"/>
          <w:sz w:val="32"/>
        </w:rPr>
        <w:t xml:space="preserve"> OFFICE</w:t>
      </w:r>
    </w:p>
    <w:p w:rsidR="00B75C79">
      <w:pPr>
        <w:jc w:val="center"/>
      </w:pPr>
      <w:r>
        <w:rPr>
          <w:rFonts w:ascii="Calibri" w:hAnsi="Calibri"/>
          <w:b/>
          <w:color w:val="0099CC"/>
          <w:sz w:val="32"/>
        </w:rPr>
        <w:t xml:space="preserve">SN REPORT </w:t>
      </w:r>
      <w:r w:rsidR="00527AD0">
        <w:rPr>
          <w:rFonts w:ascii="Calibri" w:hAnsi="Calibri"/>
          <w:b/>
          <w:noProof/>
          <w:color w:val="0099CC"/>
          <w:sz w:val="32"/>
        </w:rPr>
        <w:t>2020</w:t>
      </w:r>
    </w:p>
    <w:p w:rsidR="00B75C79" w:rsidP="00527AD0">
      <w:pPr>
        <w:jc w:val="center"/>
        <w:rPr>
          <w:rFonts w:ascii="Calibri" w:hAnsi="Calibri"/>
          <w:color w:val="C00000"/>
          <w:sz w:val="28"/>
        </w:rPr>
      </w:pPr>
      <w:r>
        <w:br/>
      </w:r>
      <w:r>
        <w:br/>
      </w:r>
      <w:r>
        <w:br/>
      </w:r>
      <w:r>
        <w:br/>
      </w:r>
      <w:r w:rsidR="005D51BE">
        <w:rPr>
          <w:rFonts w:ascii="Calibri" w:hAnsi="Calibri"/>
          <w:b/>
          <w:noProof/>
          <w:color w:val="0099CC"/>
          <w:sz w:val="32"/>
        </w:rPr>
        <w:t>Narrative</w:t>
      </w:r>
      <w:r>
        <w:br/>
      </w:r>
      <w:r>
        <w:br/>
      </w:r>
      <w:r>
        <w:br/>
      </w:r>
      <w:r>
        <w:br/>
      </w:r>
      <w:r>
        <w:br/>
      </w:r>
      <w:r>
        <w:br/>
      </w:r>
      <w:r>
        <w:br/>
      </w:r>
      <w:r>
        <w:br/>
      </w:r>
      <w:r>
        <w:br/>
      </w:r>
      <w:r>
        <w:br/>
      </w:r>
      <w:r>
        <w:br/>
      </w:r>
      <w:r>
        <w:br/>
      </w:r>
      <w:r>
        <w:br/>
      </w:r>
      <w:r>
        <w:br/>
      </w:r>
      <w:r>
        <w:br/>
      </w:r>
      <w:r>
        <w:br/>
      </w:r>
      <w:r>
        <w:br/>
      </w:r>
      <w:r>
        <w:br/>
      </w:r>
      <w:r>
        <w:rPr>
          <w:rFonts w:ascii="Calibri" w:hAnsi="Calibri"/>
          <w:color w:val="C00000"/>
          <w:sz w:val="28"/>
        </w:rPr>
        <w:t xml:space="preserve">Report Date: </w:t>
      </w:r>
      <w:r w:rsidR="00527AD0">
        <w:rPr>
          <w:rFonts w:ascii="Calibri" w:hAnsi="Calibri"/>
          <w:noProof/>
          <w:color w:val="C00000"/>
          <w:sz w:val="28"/>
        </w:rPr>
        <w:t>5/13</w:t>
      </w:r>
      <w:r w:rsidR="00527AD0">
        <w:rPr>
          <w:rFonts w:ascii="Calibri" w:hAnsi="Calibri"/>
          <w:noProof/>
          <w:color w:val="C00000"/>
          <w:sz w:val="28"/>
        </w:rPr>
        <w:t>/2020</w:t>
      </w:r>
    </w:p>
    <w:p w:rsidR="00C07D60" w:rsidP="00527AD0">
      <w:pPr>
        <w:jc w:val="left"/>
        <w:rPr>
          <w:b/>
          <w:sz w:val="24"/>
          <w:u w:val="single"/>
        </w:rPr>
      </w:pPr>
      <w:r>
        <w:br w:type="page"/>
      </w:r>
    </w:p>
    <w:p w:rsidR="00C07D60" w:rsidP="00527AD0">
      <w:pPr>
        <w:jc w:val="left"/>
        <w:rPr>
          <w:b/>
          <w:sz w:val="24"/>
          <w:u w:val="single"/>
        </w:rPr>
      </w:pPr>
      <w:r>
        <w:rPr>
          <w:b/>
          <w:sz w:val="24"/>
          <w:u w:val="single"/>
        </w:rPr>
        <w:t>1. Context and Situation Analysis: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Brief update and key changes</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2020 is the last year for the implementation of Indonesia SN-AWP 2019-2020 and a critical transition period for UN Women Indonesia Country Office (CO) to enhance its internal capacity for operational and programmatic expansion and galvanise strategic partnerships for greater results on gender equality and empowerment of women and girls in Indonesia. It is also an important year to enhance a strategic positioning of the Indonesia CO to consolidate and sharpen its programmatic focus, changing from project-based activities and human resources structure to a more coherent programmatic approach with a fewer but stronger portfolios of projects/programmes that response to key national priorities. These include issues that require a more robust gender integration, such as climate change, resilience, and conflict preventions, including countering and preventing of violent extremism (CPVE). Simultaneously, Indonesia CO will need to leverage from its comparative advantage to expand joint programmes and strategic partnerships with other UN agencies to increase non-core resources that is specifically dedicated for Indonesia, as opposed to relying largely on non-core resources from the regional projects/programmes. These key changes in 2020 will prepare the office to have more meaningful and strategic engagement in policy and programme interventions with long term sustainability in the next programme cycle (SN 2021-2025), which will also coincide with the new United Nations Sustainable Development Cooperation Framework (UNSDC) 2021-2025.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2019, there are a number of pivotal internal and external issues, which inform strategic planning in 2020. Externally, the outlook to advance GEEW is a mixed picture. The aftermath of the presidential and legislative elections presented both challenges and opportunities to advance gender equality and development work in Indonesia. On one hand, President Joko Widodo (Jokowi), who has been widely recognized as the strong proponent for inclusive and pluralistic society and a friend of minority groups, has been re-elected for his second term (2019-2024) and inaugurated in October 2019. In parliament, Indonesia saw the highest number of women parliamentarians, accounting to 22% (126 out of the 575 MPs) of the new set of parliamentarians or the Dewan Perwakilan Rakyat (DPR)</w:t>
      </w:r>
      <w:r>
        <w:rPr>
          <w:rFonts w:ascii="Times New Roman" w:eastAsia="Times New Roman" w:hAnsi="Times New Roman" w:cs="Times New Roman"/>
          <w:color w:val="0000EE"/>
          <w:u w:val="single" w:color="0000EE"/>
        </w:rPr>
        <w:t>[1]</w:t>
      </w:r>
      <w:r>
        <w:rPr>
          <w:rStyle w:val="FootnoteReference"/>
        </w:rPr>
        <w:footnoteReference w:id="0"/>
      </w:r>
      <w:r>
        <w:rPr>
          <w:rFonts w:ascii="Times New Roman" w:eastAsia="Times New Roman" w:hAnsi="Times New Roman" w:cs="Times New Roman"/>
          <w:sz w:val="24"/>
          <w:szCs w:val="24"/>
        </w:rPr>
        <w:t>, with the first-ever elected women House Speaker, Puan Maharani, the former coordinating human development and culture minister and daughter of Indonesian Democratic Party of Struggle (PDI-P) chairwoman Megawati Soekarnoputri.</w:t>
      </w:r>
      <w:r>
        <w:rPr>
          <w:rFonts w:ascii="Times New Roman" w:eastAsia="Times New Roman" w:hAnsi="Times New Roman" w:cs="Times New Roman"/>
          <w:color w:val="0000EE"/>
          <w:u w:val="single" w:color="0000EE"/>
        </w:rPr>
        <w:t>[2]</w:t>
      </w:r>
      <w:r>
        <w:rPr>
          <w:rStyle w:val="FootnoteReference"/>
        </w:rPr>
        <w:footnoteReference w:id="1"/>
      </w:r>
      <w:r>
        <w:rPr>
          <w:rFonts w:ascii="Times New Roman" w:eastAsia="Times New Roman" w:hAnsi="Times New Roman" w:cs="Times New Roman"/>
          <w:sz w:val="24"/>
          <w:szCs w:val="24"/>
        </w:rPr>
        <w:t xml:space="preserve"> On the other hand, rising religious conservatism, intolerance and identity politics have gained momentum in Indonesia and it has been displayed in multiple protests and unrests on streets of Jakarta and many other cities. The protests and riots, especially in Papua, which is one of the poorest and most marginalised regions of Indonesia reflect a deeply rooted issues of structural inequalities and social injustice in Indonesia. Furthermore, the anticipated changes of key leadership positions within the cabinet previously occupied by women ministers may affect prioritisation of issues and allocation of funds for gender equality and empowerment of women (GEEW) at the country level.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the legislative fonts, the House of Representative passed the amendment of Law No. 1/1974 on marriage to increase the minimum legal age for marriage to 19 years old, which is largely positive development.</w:t>
      </w:r>
      <w:r>
        <w:rPr>
          <w:rFonts w:ascii="Times New Roman" w:eastAsia="Times New Roman" w:hAnsi="Times New Roman" w:cs="Times New Roman"/>
          <w:color w:val="0000EE"/>
          <w:u w:val="single" w:color="0000EE"/>
        </w:rPr>
        <w:t>[3]</w:t>
      </w:r>
      <w:r>
        <w:rPr>
          <w:rStyle w:val="FootnoteReference"/>
        </w:rPr>
        <w:footnoteReference w:id="2"/>
      </w:r>
      <w:r>
        <w:rPr>
          <w:rFonts w:ascii="Times New Roman" w:eastAsia="Times New Roman" w:hAnsi="Times New Roman" w:cs="Times New Roman"/>
          <w:sz w:val="24"/>
          <w:szCs w:val="24"/>
        </w:rPr>
        <w:t xml:space="preserve"> There is also a positive development of the Elimination of Sexual Violence Bill (RUU-PKS), which is crucial to address violence against women and girls in Indonesia. Nevertheless, the conservative wing of the Parliament has also been pushing for the adoption of the new Criminal Code Bill (RKUHP), which will have a far reaching negative consequences for human rights, gender equality and the broader development agenda of Indonesia (not only for the LGBTIQ community).</w:t>
      </w:r>
      <w:r>
        <w:rPr>
          <w:rFonts w:ascii="Times New Roman" w:eastAsia="Times New Roman" w:hAnsi="Times New Roman" w:cs="Times New Roman"/>
          <w:color w:val="0000EE"/>
          <w:u w:val="single" w:color="0000EE"/>
        </w:rPr>
        <w:t>[4]</w:t>
      </w:r>
      <w:r>
        <w:rPr>
          <w:rStyle w:val="FootnoteReference"/>
        </w:rPr>
        <w:footnoteReference w:id="3"/>
      </w:r>
      <w:r>
        <w:rPr>
          <w:rFonts w:ascii="Times New Roman" w:eastAsia="Times New Roman" w:hAnsi="Times New Roman" w:cs="Times New Roman"/>
          <w:sz w:val="24"/>
          <w:szCs w:val="24"/>
        </w:rPr>
        <w:t xml:space="preserve"> Both RKUHP and RUU-PKS contain provisions that are contradictory to women’s human rights and gender equality in Indonesia. They are currently pending but anticipated to be included in the next set of priority Bills to be considered by the new Parliament. </w:t>
      </w:r>
      <w:r>
        <w:rPr>
          <w:rFonts w:ascii="Times New Roman" w:eastAsia="Times New Roman" w:hAnsi="Times New Roman" w:cs="Times New Roman"/>
          <w:sz w:val="24"/>
          <w:szCs w:val="24"/>
        </w:rPr>
        <w:t>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 from the changes in the political and legislative fronts, Indonesia is also in the process of developing the new Medium-Term National Development Plan (RPJMN) 2020-2024. The Ministry of Planning (BAPPENAS) outlines a clear cross-cutting priority on reducing inequality (SDG 10) with a strong emphasis on promoting competitive human resources as the key for structural transformation and economic growth for Indonesia. The government also has a strong focus on infrastructure and access to basic social services, including water and sanitation and electricity as a key to address regional inequalities.</w:t>
      </w:r>
      <w:r>
        <w:rPr>
          <w:rFonts w:ascii="Times New Roman" w:eastAsia="Times New Roman" w:hAnsi="Times New Roman" w:cs="Times New Roman"/>
          <w:color w:val="0000EE"/>
          <w:u w:val="single" w:color="0000EE"/>
        </w:rPr>
        <w:t>[5]</w:t>
      </w:r>
      <w:r>
        <w:rPr>
          <w:rStyle w:val="FootnoteReference"/>
        </w:rPr>
        <w:footnoteReference w:id="4"/>
      </w:r>
      <w:r>
        <w:rPr>
          <w:rFonts w:ascii="Times New Roman" w:eastAsia="Times New Roman" w:hAnsi="Times New Roman" w:cs="Times New Roman"/>
          <w:sz w:val="24"/>
          <w:szCs w:val="24"/>
        </w:rPr>
        <w:t xml:space="preserve"> Both President Jokowi’s second-term vision and mission statement and RPJMN highlight a strong focus on addressing issues of maternal and child mortality and child marriage one of the key national priorities.</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Internally, UN Women Indonesia transitioned from programme presence to a fully delegated CO in April 2019. However, from May to August 2019, Indonesia CO went through a senior management transition without a Country Representative and was managed by a newly appointed Gender and Governance Programme Specialist (P4), who was then appointed as an OIC in the interim until the arrival of new Country Representative and Liaise to ASEAN, Mr. Jamshed Kazi in the beginning of September 2019.</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majority of the Indonesia CO personnel have been recruited during the past six months to one year , including the new Country Representative and staff on key programme and operation functions and there will continue to be a steep learning curve over the next few months requiring capacity development support from the RO including during the course of 2020. In addition, UNCT Indonesia is now in the process of development of the new UNSCDF (2021-2025). UN Women as a co-chair of Gender Working Group of UNCT played a strong technical and coordination role throughout the process to mainstream gender into the CCA and the four outcome areas under the new UNSDCF: (i) inclusive human development and governance; (ii) transformative economy and inclusive growth; (iii) climate change and disaster resilience strategies, and (iv) innovation for SDGs. It is worth noting that Indonesia is among the new countries to start the UNSDCF roll out process and UN Women has invested heavily in the process to fulfil its coordination mandate as well as to ensure that gender is well featured in the new cooperation framework to pave the way for joint programmes with other UN agencies. </w:t>
      </w:r>
    </w:p>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
          <w:szCs w:val="2"/>
        </w:rPr>
        <w:br w:type="textWrapping" w:clear="all"/>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"file:///C:/Users/dell/Documents/WORKING%20FILES%20OF%20LWP/AWP%202020/DRAFT%202020/SN_AWP%20Cover%20Note_Report_2020v1_11Oct_clean.docx" \l "_ftnref1" </w:instrText>
      </w:r>
      <w:r>
        <w:rPr>
          <w:rFonts w:ascii="Times New Roman" w:eastAsia="Times New Roman" w:hAnsi="Times New Roman" w:cs="Times New Roman"/>
          <w:sz w:val="24"/>
          <w:szCs w:val="24"/>
        </w:rPr>
        <w:fldChar w:fldCharType="separate"/>
      </w:r>
      <w:bookmarkStart w:id="0" w:name="_ftn1"/>
      <w:r>
        <w:rPr>
          <w:rFonts w:ascii="Calibri" w:eastAsia="Calibri" w:hAnsi="Calibri" w:cs="Calibri"/>
          <w:color w:val="0000EE"/>
          <w:sz w:val="20"/>
          <w:szCs w:val="20"/>
          <w:u w:val="single" w:color="0000EE"/>
        </w:rPr>
        <w:t>[1]</w:t>
      </w:r>
      <w:r>
        <w:rPr>
          <w:rFonts w:ascii="Calibri" w:eastAsia="Calibri" w:hAnsi="Calibri" w:cs="Calibri"/>
          <w:color w:val="0000EE"/>
          <w:sz w:val="20"/>
          <w:szCs w:val="20"/>
          <w:u w:val="single" w:color="0000EE"/>
        </w:rPr>
        <w:fldChar w:fldCharType="end"/>
      </w:r>
      <w:bookmarkEnd w:id="0"/>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eastAsia="en-US"/>
        </w:rPr>
        <w:t xml:space="preserve">The Gender Election Commission (KPU)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"file:///C:/Users/dell/Documents/WORKING%20FILES%20OF%20LWP/AWP%202020/DRAFT%202020/SN_AWP%20Cover%20Note_Report_2020v1_11Oct_clean.docx" \l "_ftnref2" </w:instrText>
      </w:r>
      <w:r>
        <w:rPr>
          <w:rFonts w:ascii="Times New Roman" w:eastAsia="Times New Roman" w:hAnsi="Times New Roman" w:cs="Times New Roman"/>
          <w:sz w:val="24"/>
          <w:szCs w:val="24"/>
        </w:rPr>
        <w:fldChar w:fldCharType="separate"/>
      </w:r>
      <w:bookmarkStart w:id="1" w:name="_ftn2"/>
      <w:r>
        <w:rPr>
          <w:rFonts w:ascii="Calibri" w:eastAsia="Calibri" w:hAnsi="Calibri" w:cs="Calibri"/>
          <w:color w:val="0000EE"/>
          <w:sz w:val="20"/>
          <w:szCs w:val="20"/>
          <w:u w:val="single" w:color="0000EE"/>
        </w:rPr>
        <w:t>[2]</w:t>
      </w:r>
      <w:r>
        <w:rPr>
          <w:rFonts w:ascii="Calibri" w:eastAsia="Calibri" w:hAnsi="Calibri" w:cs="Calibri"/>
          <w:color w:val="0000EE"/>
          <w:sz w:val="20"/>
          <w:szCs w:val="20"/>
          <w:u w:val="single" w:color="0000EE"/>
        </w:rPr>
        <w:fldChar w:fldCharType="end"/>
      </w:r>
      <w:bookmarkEnd w:id="1"/>
      <w:r>
        <w:rPr>
          <w:rFonts w:ascii="Times New Roman" w:eastAsia="Times New Roman" w:hAnsi="Times New Roman" w:cs="Times New Roman"/>
          <w:sz w:val="24"/>
          <w:szCs w:val="24"/>
        </w:rPr>
        <w:t xml:space="preserve"> Ghina Ghaliya </w:t>
      </w:r>
      <w:r>
        <w:rPr>
          <w:rFonts w:ascii="Times New Roman" w:eastAsia="Times New Roman" w:hAnsi="Times New Roman" w:cs="Times New Roman"/>
          <w:sz w:val="24"/>
          <w:szCs w:val="24"/>
          <w:lang w:val="en-US" w:eastAsia="en-US"/>
        </w:rPr>
        <w:t xml:space="preserve">“Indonesia gets first female speaker for House of Representatives”, </w:t>
      </w:r>
      <w:r>
        <w:rPr>
          <w:rFonts w:ascii="Times New Roman" w:eastAsia="Times New Roman" w:hAnsi="Times New Roman" w:cs="Times New Roman"/>
          <w:i/>
          <w:iCs/>
          <w:sz w:val="24"/>
          <w:szCs w:val="24"/>
          <w:lang w:val="en-US" w:eastAsia="en-US"/>
        </w:rPr>
        <w:t>The Jakarta Post</w:t>
      </w:r>
      <w:r>
        <w:rPr>
          <w:rFonts w:ascii="Times New Roman" w:eastAsia="Times New Roman" w:hAnsi="Times New Roman" w:cs="Times New Roman"/>
          <w:sz w:val="24"/>
          <w:szCs w:val="24"/>
          <w:lang w:val="en-US" w:eastAsia="en-US"/>
        </w:rPr>
        <w:t>, 1 October 2019</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"file:///C:/Users/dell/Documents/WORKING%20FILES%20OF%20LWP/AWP%202020/DRAFT%202020/SN_AWP%20Cover%20Note_Report_2020v1_11Oct_clean.docx" \l "_ftnref3" </w:instrText>
      </w:r>
      <w:r>
        <w:rPr>
          <w:rFonts w:ascii="Times New Roman" w:eastAsia="Times New Roman" w:hAnsi="Times New Roman" w:cs="Times New Roman"/>
          <w:sz w:val="24"/>
          <w:szCs w:val="24"/>
        </w:rPr>
        <w:fldChar w:fldCharType="separate"/>
      </w:r>
      <w:bookmarkStart w:id="2" w:name="_ftn3"/>
      <w:r>
        <w:rPr>
          <w:rFonts w:ascii="Calibri" w:eastAsia="Calibri" w:hAnsi="Calibri" w:cs="Calibri"/>
          <w:color w:val="0000EE"/>
          <w:sz w:val="18"/>
          <w:szCs w:val="18"/>
          <w:u w:val="single" w:color="0000EE"/>
        </w:rPr>
        <w:t>[3]</w:t>
      </w:r>
      <w:r>
        <w:rPr>
          <w:rFonts w:ascii="Calibri" w:eastAsia="Calibri" w:hAnsi="Calibri" w:cs="Calibri"/>
          <w:color w:val="0000EE"/>
          <w:sz w:val="18"/>
          <w:szCs w:val="18"/>
          <w:u w:val="single" w:color="0000EE"/>
        </w:rPr>
        <w:fldChar w:fldCharType="end"/>
      </w:r>
      <w:bookmarkEnd w:id="2"/>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HYPERLINK "https://www.thejakartapost.com/news/2019/09/13/house-agrees-to-raise-minimum-marriage-age-to-19.html"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color w:val="0000EE"/>
          <w:sz w:val="18"/>
          <w:szCs w:val="18"/>
          <w:u w:val="single" w:color="0000EE"/>
        </w:rPr>
        <w:t>https://www.thejakartapost.com/news/2019/09/13/house-agrees-to-raise-minimum-marriage-age-to-19.html</w:t>
      </w:r>
      <w:r>
        <w:rPr>
          <w:rFonts w:ascii="Times New Roman" w:eastAsia="Times New Roman" w:hAnsi="Times New Roman" w:cs="Times New Roman"/>
          <w:color w:val="0000EE"/>
          <w:sz w:val="18"/>
          <w:szCs w:val="18"/>
          <w:u w:val="single" w:color="0000EE"/>
        </w:rPr>
        <w:fldChar w:fldCharType="end"/>
      </w:r>
      <w:r>
        <w:rPr>
          <w:rFonts w:ascii="Times New Roman" w:eastAsia="Times New Roman" w:hAnsi="Times New Roman" w:cs="Times New Roman"/>
          <w:sz w:val="18"/>
          <w:szCs w:val="18"/>
        </w:rPr>
        <w:t xml:space="preserve">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"file:///C:/Users/dell/Documents/WORKING%20FILES%20OF%20LWP/AWP%202020/DRAFT%202020/SN_AWP%20Cover%20Note_Report_2020v1_11Oct_clean.docx" \l "_ftnref4" </w:instrText>
      </w:r>
      <w:r>
        <w:rPr>
          <w:rFonts w:ascii="Times New Roman" w:eastAsia="Times New Roman" w:hAnsi="Times New Roman" w:cs="Times New Roman"/>
          <w:sz w:val="24"/>
          <w:szCs w:val="24"/>
        </w:rPr>
        <w:fldChar w:fldCharType="separate"/>
      </w:r>
      <w:bookmarkStart w:id="3" w:name="_ftn4"/>
      <w:r>
        <w:rPr>
          <w:rFonts w:ascii="Calibri" w:eastAsia="Calibri" w:hAnsi="Calibri" w:cs="Calibri"/>
          <w:color w:val="0000EE"/>
          <w:sz w:val="18"/>
          <w:szCs w:val="18"/>
          <w:u w:val="single" w:color="0000EE"/>
        </w:rPr>
        <w:t>[4]</w:t>
      </w:r>
      <w:r>
        <w:rPr>
          <w:rFonts w:ascii="Calibri" w:eastAsia="Calibri" w:hAnsi="Calibri" w:cs="Calibri"/>
          <w:color w:val="0000EE"/>
          <w:sz w:val="18"/>
          <w:szCs w:val="18"/>
          <w:u w:val="single" w:color="0000EE"/>
        </w:rPr>
        <w:fldChar w:fldCharType="end"/>
      </w:r>
      <w:bookmarkEnd w:id="3"/>
      <w:r>
        <w:rPr>
          <w:rFonts w:ascii="Times New Roman" w:eastAsia="Times New Roman" w:hAnsi="Times New Roman" w:cs="Times New Roman"/>
          <w:sz w:val="18"/>
          <w:szCs w:val="18"/>
        </w:rPr>
        <w:t xml:space="preserve"> Key concerns of RKUHP are the imposition of</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the society’s living laws that open for a wide interpretation to infringe the rights of marginalized and disadvantaged groups, reversal of the gains made on fundamental rights and autonomy of women, including restriction of contraceptive promotion and distributions and the limit of sexual and reproductive health and rights, and the expansion of moral ‘decency’ clauses that criminalise extra marital consensual sex and limitation of freedom of speech, see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HYPERLINK "https://www.hrw.org/news/2019/09/18/indonesia-draft-criminal-code-disastrous-rights"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color w:val="0000EE"/>
          <w:sz w:val="18"/>
          <w:szCs w:val="18"/>
          <w:u w:val="single" w:color="0000EE"/>
        </w:rPr>
        <w:t>https://www.hrw.org/news/2019/09/18/indonesia-draft-criminal-code-disastrous-rights</w:t>
      </w:r>
      <w:r>
        <w:rPr>
          <w:rFonts w:ascii="Times New Roman" w:eastAsia="Times New Roman" w:hAnsi="Times New Roman" w:cs="Times New Roman"/>
          <w:color w:val="0000EE"/>
          <w:sz w:val="18"/>
          <w:szCs w:val="18"/>
          <w:u w:val="single" w:color="0000EE"/>
        </w:rPr>
        <w:fldChar w:fldCharType="end"/>
      </w:r>
      <w:r>
        <w:rPr>
          <w:rFonts w:ascii="Times New Roman" w:eastAsia="Times New Roman" w:hAnsi="Times New Roman" w:cs="Times New Roman"/>
          <w:sz w:val="18"/>
          <w:szCs w:val="18"/>
        </w:rPr>
        <w:t xml:space="preserve">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"file:///C:/Users/dell/Documents/WORKING%20FILES%20OF%20LWP/AWP%202020/DRAFT%202020/SN_AWP%20Cover%20Note_Report_2020v1_11Oct_clean.docx" \l "_ftnref5" </w:instrText>
      </w:r>
      <w:r>
        <w:rPr>
          <w:rFonts w:ascii="Times New Roman" w:eastAsia="Times New Roman" w:hAnsi="Times New Roman" w:cs="Times New Roman"/>
          <w:sz w:val="24"/>
          <w:szCs w:val="24"/>
        </w:rPr>
        <w:fldChar w:fldCharType="separate"/>
      </w:r>
      <w:bookmarkStart w:id="4" w:name="_ftn5"/>
      <w:r>
        <w:rPr>
          <w:rFonts w:ascii="Calibri" w:eastAsia="Calibri" w:hAnsi="Calibri" w:cs="Calibri"/>
          <w:color w:val="0000EE"/>
          <w:sz w:val="18"/>
          <w:szCs w:val="18"/>
          <w:u w:val="single" w:color="0000EE"/>
        </w:rPr>
        <w:t>[5]</w:t>
      </w:r>
      <w:r>
        <w:rPr>
          <w:rFonts w:ascii="Calibri" w:eastAsia="Calibri" w:hAnsi="Calibri" w:cs="Calibri"/>
          <w:color w:val="0000EE"/>
          <w:sz w:val="18"/>
          <w:szCs w:val="18"/>
          <w:u w:val="single" w:color="0000EE"/>
        </w:rPr>
        <w:fldChar w:fldCharType="end"/>
      </w:r>
      <w:bookmarkEnd w:id="4"/>
      <w:r>
        <w:rPr>
          <w:rFonts w:ascii="Times New Roman" w:eastAsia="Times New Roman" w:hAnsi="Times New Roman" w:cs="Times New Roman"/>
          <w:sz w:val="18"/>
          <w:szCs w:val="18"/>
        </w:rPr>
        <w:t xml:space="preserve"> Presentations of Bambang Brodjonegoro, Minister of National Development Planning / Head of National Development Planning Agency (Minister of PPN/Bappenas) at the UN Visioning 2030 and Strategic Prioritization Workshop, 10 September 2019, and at </w:t>
      </w:r>
      <w:r>
        <w:rPr>
          <w:rFonts w:ascii="Times New Roman" w:eastAsia="Times New Roman" w:hAnsi="Times New Roman" w:cs="Times New Roman"/>
          <w:sz w:val="18"/>
          <w:szCs w:val="18"/>
          <w:lang w:val="en-US" w:eastAsia="en-US"/>
        </w:rPr>
        <w:t xml:space="preserve">Indonesia Development Forum 2019 available at </w:t>
      </w:r>
      <w:r>
        <w:rPr>
          <w:rFonts w:ascii="Times New Roman" w:eastAsia="Times New Roman" w:hAnsi="Times New Roman" w:cs="Times New Roman"/>
          <w:sz w:val="18"/>
          <w:szCs w:val="18"/>
          <w:lang w:val="en-US" w:eastAsia="en-US"/>
        </w:rPr>
        <w:fldChar w:fldCharType="begin"/>
      </w:r>
      <w:r>
        <w:rPr>
          <w:rFonts w:ascii="Times New Roman" w:eastAsia="Times New Roman" w:hAnsi="Times New Roman" w:cs="Times New Roman"/>
          <w:sz w:val="18"/>
          <w:szCs w:val="18"/>
          <w:lang w:val="en-US" w:eastAsia="en-US"/>
        </w:rPr>
        <w:instrText xml:space="preserve"> HYPERLINK "https://indonesiadevelopmentforum.com/2019/article/15061-idf-2019-competitive-human-resources-the-key-for-structural-transformation-towards-becoming-a-developed-indonesia" </w:instrText>
      </w:r>
      <w:r>
        <w:rPr>
          <w:rFonts w:ascii="Times New Roman" w:eastAsia="Times New Roman" w:hAnsi="Times New Roman" w:cs="Times New Roman"/>
          <w:sz w:val="18"/>
          <w:szCs w:val="18"/>
          <w:lang w:val="en-US" w:eastAsia="en-US"/>
        </w:rPr>
        <w:fldChar w:fldCharType="separate"/>
      </w:r>
      <w:r>
        <w:rPr>
          <w:rFonts w:ascii="Times New Roman" w:eastAsia="Times New Roman" w:hAnsi="Times New Roman" w:cs="Times New Roman"/>
          <w:color w:val="0000EE"/>
          <w:sz w:val="18"/>
          <w:szCs w:val="18"/>
          <w:u w:val="single" w:color="0000EE"/>
          <w:lang w:val="en-US" w:eastAsia="en-US"/>
        </w:rPr>
        <w:t>https://indonesiadevelopmentforum.com/2019/article/15061-idf-2019-competitive-human-resources-the-key-for-structural-transformation-towards-becoming-a-developed-indonesia</w:t>
      </w:r>
      <w:r>
        <w:rPr>
          <w:rFonts w:ascii="Times New Roman" w:eastAsia="Times New Roman" w:hAnsi="Times New Roman" w:cs="Times New Roman"/>
          <w:color w:val="0000EE"/>
          <w:sz w:val="18"/>
          <w:szCs w:val="18"/>
          <w:u w:val="single" w:color="0000EE"/>
          <w:lang w:val="en-US" w:eastAsia="en-US"/>
        </w:rPr>
        <w:fldChar w:fldCharType="end"/>
      </w:r>
      <w:r>
        <w:rPr>
          <w:rFonts w:ascii="Times New Roman" w:eastAsia="Times New Roman" w:hAnsi="Times New Roman" w:cs="Times New Roman"/>
          <w:sz w:val="18"/>
          <w:szCs w:val="18"/>
          <w:lang w:val="en-US" w:eastAsia="en-US"/>
        </w:rPr>
        <w:t xml:space="preserve">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Title: 14.PP5_CATAHU 2016 Komnas Perempuan.pdf" style="width:40pt;height:40pt;margin-top:0;margin-left:0;mso-position-vertical:bottom;position:absolute;z-index:-251657216" o:oleicon="t">
            <v:imagedata r:id="rId8" o:title=""/>
          </v:shape>
          <o:OLEObject Type="Embed" ProgID="Package" ShapeID="_x0000_s1025" DrawAspect="Icon" ObjectID="_0" r:id="rId9"/>
        </w:pict>
      </w:r>
    </w:p>
    <w:p w:rsidR="00C07D60" w:rsidP="00527AD0">
      <w:pPr>
        <w:jc w:val="left"/>
        <w:rPr>
          <w:b/>
          <w:sz w:val="24"/>
          <w:u w:val="single"/>
        </w:rPr>
      </w:pPr>
    </w:p>
    <w:p w:rsidR="00C07D60" w:rsidP="00527AD0">
      <w:pPr>
        <w:jc w:val="left"/>
        <w:rPr>
          <w:b w:val="0"/>
          <w:sz w:val="24"/>
          <w:u w:val="none"/>
        </w:rPr>
      </w:pPr>
      <w:r>
        <w:rPr>
          <w:b w:val="0"/>
          <w:sz w:val="24"/>
          <w:u w:val="none"/>
        </w:rPr>
        <w:t>14.PP5_CATAHU 2016 Komnas Perempuan.pdf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26" type="#_x0000_t75" alt="Title: Permen-No.15-2008 Ministry of Home Affairs.pdf" style="width:40pt;height:40pt;margin-top:0;margin-left:0;mso-position-vertical:bottom;position:absolute;z-index:-251656192" o:oleicon="t">
            <v:imagedata r:id="rId8" o:title=""/>
          </v:shape>
          <o:OLEObject Type="Embed" ProgID="Package" ShapeID="_x0000_s1026" DrawAspect="Icon" ObjectID="_1" r:id="rId10"/>
        </w:pict>
      </w:r>
    </w:p>
    <w:p w:rsidR="00C07D60" w:rsidP="00527AD0">
      <w:pPr>
        <w:jc w:val="left"/>
        <w:rPr>
          <w:b/>
          <w:sz w:val="24"/>
          <w:u w:val="single"/>
        </w:rPr>
      </w:pPr>
    </w:p>
    <w:p w:rsidR="00C07D60" w:rsidP="00527AD0">
      <w:pPr>
        <w:jc w:val="left"/>
        <w:rPr>
          <w:b w:val="0"/>
          <w:sz w:val="24"/>
          <w:u w:val="none"/>
        </w:rPr>
      </w:pPr>
      <w:r>
        <w:rPr>
          <w:b w:val="0"/>
          <w:sz w:val="24"/>
          <w:u w:val="none"/>
        </w:rPr>
        <w:t>Permen-No.15-2008 Ministry of Home Affairs.pdf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27" type="#_x0000_t75" alt="Title: the Law of Republih of Indonesia no 23 year 2004 regarding elimination of violence in household.pdf" style="width:40pt;height:40pt;margin-top:0;margin-left:0;mso-position-vertical:bottom;position:absolute;z-index:-251655168" o:oleicon="t">
            <v:imagedata r:id="rId8" o:title=""/>
          </v:shape>
          <o:OLEObject Type="Embed" ProgID="Package" ShapeID="_x0000_s1027" DrawAspect="Icon" ObjectID="_2" r:id="rId11"/>
        </w:pict>
      </w:r>
    </w:p>
    <w:p w:rsidR="00C07D60" w:rsidP="00527AD0">
      <w:pPr>
        <w:jc w:val="left"/>
        <w:rPr>
          <w:b/>
          <w:sz w:val="24"/>
          <w:u w:val="single"/>
        </w:rPr>
      </w:pPr>
    </w:p>
    <w:p w:rsidR="00C07D60" w:rsidP="00527AD0">
      <w:pPr>
        <w:jc w:val="left"/>
        <w:rPr>
          <w:b w:val="0"/>
          <w:sz w:val="24"/>
          <w:u w:val="none"/>
        </w:rPr>
      </w:pPr>
      <w:r>
        <w:rPr>
          <w:b w:val="0"/>
          <w:sz w:val="24"/>
          <w:u w:val="none"/>
        </w:rPr>
        <w:t>the Law of Republih of Indonesia no 23 year 2004 regarding elimination of violence in household.pdf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28" type="#_x0000_t75" alt="Title: UU no 23 year 2004 on the elimination of domestic violence.pdf" style="width:40pt;height:40pt;margin-top:0;margin-left:0;mso-position-vertical:bottom;position:absolute;z-index:-251654144" o:oleicon="t">
            <v:imagedata r:id="rId8" o:title=""/>
          </v:shape>
          <o:OLEObject Type="Embed" ProgID="Package" ShapeID="_x0000_s1028" DrawAspect="Icon" ObjectID="_3" r:id="rId12"/>
        </w:pict>
      </w:r>
    </w:p>
    <w:p w:rsidR="00C07D60" w:rsidP="00527AD0">
      <w:pPr>
        <w:jc w:val="left"/>
        <w:rPr>
          <w:b/>
          <w:sz w:val="24"/>
          <w:u w:val="single"/>
        </w:rPr>
      </w:pPr>
    </w:p>
    <w:p w:rsidR="00C07D60" w:rsidP="00527AD0">
      <w:pPr>
        <w:jc w:val="left"/>
        <w:rPr>
          <w:b w:val="0"/>
          <w:sz w:val="24"/>
          <w:u w:val="none"/>
        </w:rPr>
      </w:pPr>
      <w:r>
        <w:rPr>
          <w:b w:val="0"/>
          <w:sz w:val="24"/>
          <w:u w:val="none"/>
        </w:rPr>
        <w:t>UU no 23 year 2004 on the elimination of domestic violence.pdf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29" type="#_x0000_t75" alt="Title: Catatan Tahunan Kekerasan Terhadap Perempuan 2018.pdf" style="width:40pt;height:40pt;margin-top:0;margin-left:0;mso-position-vertical:bottom;position:absolute;z-index:-251653120" o:oleicon="t">
            <v:imagedata r:id="rId8" o:title=""/>
          </v:shape>
          <o:OLEObject Type="Embed" ProgID="Package" ShapeID="_x0000_s1029" DrawAspect="Icon" ObjectID="_4" r:id="rId13"/>
        </w:pict>
      </w:r>
    </w:p>
    <w:p w:rsidR="00C07D60" w:rsidP="00527AD0">
      <w:pPr>
        <w:jc w:val="left"/>
        <w:rPr>
          <w:b/>
          <w:sz w:val="24"/>
          <w:u w:val="single"/>
        </w:rPr>
      </w:pPr>
    </w:p>
    <w:p w:rsidR="00C07D60" w:rsidP="00527AD0">
      <w:pPr>
        <w:jc w:val="left"/>
        <w:rPr>
          <w:b w:val="0"/>
          <w:sz w:val="24"/>
          <w:u w:val="none"/>
        </w:rPr>
      </w:pPr>
      <w:r>
        <w:rPr>
          <w:b w:val="0"/>
          <w:sz w:val="24"/>
          <w:u w:val="none"/>
        </w:rPr>
        <w:t>Catatan Tahunan Kekerasan Terhadap Perempuan 2018.pdf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0" type="#_x0000_t75" alt="Title: 01._Inpres_No.9_Thn_2000_-_PUG_dalam_Pembangunan_Nasional.pdf" style="width:40pt;height:40pt;margin-top:0;margin-left:0;mso-position-vertical:bottom;position:absolute;z-index:-251652096" o:oleicon="t">
            <v:imagedata r:id="rId8" o:title=""/>
          </v:shape>
          <o:OLEObject Type="Embed" ProgID="Package" ShapeID="_x0000_s1030" DrawAspect="Icon" ObjectID="_5" r:id="rId14"/>
        </w:pict>
      </w:r>
    </w:p>
    <w:p w:rsidR="00C07D60" w:rsidP="00527AD0">
      <w:pPr>
        <w:jc w:val="left"/>
        <w:rPr>
          <w:b/>
          <w:sz w:val="24"/>
          <w:u w:val="single"/>
        </w:rPr>
      </w:pPr>
    </w:p>
    <w:p w:rsidR="00C07D60" w:rsidP="00527AD0">
      <w:pPr>
        <w:jc w:val="left"/>
        <w:rPr>
          <w:b w:val="0"/>
          <w:sz w:val="24"/>
          <w:u w:val="none"/>
        </w:rPr>
      </w:pPr>
      <w:r>
        <w:rPr>
          <w:b w:val="0"/>
          <w:sz w:val="24"/>
          <w:u w:val="none"/>
        </w:rPr>
        <w:t>01._Inpres_No.9_Thn_2000_-_PUG_dalam_Pembangunan_Nasional.pdf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1" type="#_x0000_t75" alt="Title: Women and Girls in Indonesia_ Progress and Challenges_UNFPA Indonesia.pdf" style="width:40pt;height:40pt;margin-top:0;margin-left:0;mso-position-vertical:bottom;position:absolute;z-index:-251651072" o:oleicon="t">
            <v:imagedata r:id="rId8" o:title=""/>
          </v:shape>
          <o:OLEObject Type="Embed" ProgID="Package" ShapeID="_x0000_s1031" DrawAspect="Icon" ObjectID="_6" r:id="rId15"/>
        </w:pict>
      </w:r>
    </w:p>
    <w:p w:rsidR="00C07D60" w:rsidP="00527AD0">
      <w:pPr>
        <w:jc w:val="left"/>
        <w:rPr>
          <w:b/>
          <w:sz w:val="24"/>
          <w:u w:val="single"/>
        </w:rPr>
      </w:pPr>
    </w:p>
    <w:p w:rsidR="00C07D60" w:rsidP="00527AD0">
      <w:pPr>
        <w:jc w:val="left"/>
        <w:rPr>
          <w:b w:val="0"/>
          <w:sz w:val="24"/>
          <w:u w:val="none"/>
        </w:rPr>
      </w:pPr>
      <w:r>
        <w:rPr>
          <w:b w:val="0"/>
          <w:sz w:val="24"/>
          <w:u w:val="none"/>
        </w:rPr>
        <w:t>Women and Girls in Indonesia_ Progress and Challenges_UNFPA Indonesia.pdf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2" type="#_x0000_t75" alt="Title: 6a361-buku-1-stranas-pprg.pdf" style="width:40pt;height:40pt;margin-top:0;margin-left:0;mso-position-vertical:bottom;position:absolute;z-index:-251650048" o:oleicon="t">
            <v:imagedata r:id="rId8" o:title=""/>
          </v:shape>
          <o:OLEObject Type="Embed" ProgID="Package" ShapeID="_x0000_s1032" DrawAspect="Icon" ObjectID="_7" r:id="rId16"/>
        </w:pict>
      </w:r>
    </w:p>
    <w:p w:rsidR="00C07D60" w:rsidP="00527AD0">
      <w:pPr>
        <w:jc w:val="left"/>
        <w:rPr>
          <w:b/>
          <w:sz w:val="24"/>
          <w:u w:val="single"/>
        </w:rPr>
      </w:pPr>
    </w:p>
    <w:p w:rsidR="00C07D60" w:rsidP="00527AD0">
      <w:pPr>
        <w:jc w:val="left"/>
        <w:rPr>
          <w:b w:val="0"/>
          <w:sz w:val="24"/>
          <w:u w:val="none"/>
        </w:rPr>
      </w:pPr>
      <w:r>
        <w:rPr>
          <w:b w:val="0"/>
          <w:sz w:val="24"/>
          <w:u w:val="none"/>
        </w:rPr>
        <w:t>6a361-buku-1-stranas-pprg.pdf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3" type="#_x0000_t75" alt="Title: UN Women Safe Cities Findings_English.pdf" style="width:40pt;height:40pt;margin-top:0;margin-left:0;mso-position-vertical:bottom;position:absolute;z-index:-251649024" o:oleicon="t">
            <v:imagedata r:id="rId8" o:title=""/>
          </v:shape>
          <o:OLEObject Type="Embed" ProgID="Package" ShapeID="_x0000_s1033" DrawAspect="Icon" ObjectID="_8" r:id="rId17"/>
        </w:pict>
      </w:r>
    </w:p>
    <w:p w:rsidR="00C07D60" w:rsidP="00527AD0">
      <w:pPr>
        <w:jc w:val="left"/>
        <w:rPr>
          <w:b/>
          <w:sz w:val="24"/>
          <w:u w:val="single"/>
        </w:rPr>
      </w:pPr>
    </w:p>
    <w:p w:rsidR="00C07D60" w:rsidP="00527AD0">
      <w:pPr>
        <w:jc w:val="left"/>
        <w:rPr>
          <w:b w:val="0"/>
          <w:sz w:val="24"/>
          <w:u w:val="none"/>
        </w:rPr>
      </w:pPr>
      <w:r>
        <w:rPr>
          <w:b w:val="0"/>
          <w:sz w:val="24"/>
          <w:u w:val="none"/>
        </w:rPr>
        <w:t>UN Women Safe Cities Findings_English.pdf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4" type="#_x0000_t75" alt="Title: UN Women Safe Cities Indonesia_English.pdf" style="width:40pt;height:40pt;margin-top:0;margin-left:0;mso-position-vertical:bottom;position:absolute;z-index:-251648000" o:oleicon="t">
            <v:imagedata r:id="rId8" o:title=""/>
          </v:shape>
          <o:OLEObject Type="Embed" ProgID="Package" ShapeID="_x0000_s1034" DrawAspect="Icon" ObjectID="_9" r:id="rId18"/>
        </w:pict>
      </w:r>
    </w:p>
    <w:p w:rsidR="00C07D60" w:rsidP="00527AD0">
      <w:pPr>
        <w:jc w:val="left"/>
        <w:rPr>
          <w:b/>
          <w:sz w:val="24"/>
          <w:u w:val="single"/>
        </w:rPr>
      </w:pPr>
    </w:p>
    <w:p w:rsidR="00C07D60" w:rsidP="00527AD0">
      <w:pPr>
        <w:jc w:val="left"/>
        <w:rPr>
          <w:b w:val="0"/>
          <w:sz w:val="24"/>
          <w:u w:val="none"/>
        </w:rPr>
      </w:pPr>
      <w:r>
        <w:rPr>
          <w:b w:val="0"/>
          <w:sz w:val="24"/>
          <w:u w:val="none"/>
        </w:rPr>
        <w:t>UN Women Safe Cities Indonesia_English.pdf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5" type="#_x0000_t75" alt="Title: UN Women Safe Cities Steps_English.pdf" style="width:40pt;height:40pt;margin-top:0;margin-left:0;mso-position-vertical:bottom;position:absolute;z-index:-251646976" o:oleicon="t">
            <v:imagedata r:id="rId8" o:title=""/>
          </v:shape>
          <o:OLEObject Type="Embed" ProgID="Package" ShapeID="_x0000_s1035" DrawAspect="Icon" ObjectID="_10" r:id="rId19"/>
        </w:pict>
      </w:r>
    </w:p>
    <w:p w:rsidR="00C07D60" w:rsidP="00527AD0">
      <w:pPr>
        <w:jc w:val="left"/>
        <w:rPr>
          <w:b/>
          <w:sz w:val="24"/>
          <w:u w:val="single"/>
        </w:rPr>
      </w:pPr>
    </w:p>
    <w:p w:rsidR="00C07D60" w:rsidP="00527AD0">
      <w:pPr>
        <w:jc w:val="left"/>
        <w:rPr>
          <w:b w:val="0"/>
          <w:sz w:val="24"/>
          <w:u w:val="none"/>
        </w:rPr>
      </w:pPr>
      <w:r>
        <w:rPr>
          <w:b w:val="0"/>
          <w:sz w:val="24"/>
          <w:u w:val="none"/>
        </w:rPr>
        <w:t>UN Women Safe Cities Steps_English.pdf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6" type="#_x0000_t75" alt="Title: National Action Plan and Strategy HIV and AIDS in Indonesia_2015_2019_FINAL.pdf" style="width:40pt;height:40pt;margin-top:0;margin-left:0;mso-position-vertical:bottom;position:absolute;z-index:-251645952" o:oleicon="t">
            <v:imagedata r:id="rId8" o:title=""/>
          </v:shape>
          <o:OLEObject Type="Embed" ProgID="Package" ShapeID="_x0000_s1036" DrawAspect="Icon" ObjectID="_11" r:id="rId20"/>
        </w:pict>
      </w:r>
    </w:p>
    <w:p w:rsidR="00C07D60" w:rsidP="00527AD0">
      <w:pPr>
        <w:jc w:val="left"/>
        <w:rPr>
          <w:b/>
          <w:sz w:val="24"/>
          <w:u w:val="single"/>
        </w:rPr>
      </w:pPr>
    </w:p>
    <w:p w:rsidR="00C07D60" w:rsidP="00527AD0">
      <w:pPr>
        <w:jc w:val="left"/>
        <w:rPr>
          <w:b w:val="0"/>
          <w:sz w:val="24"/>
          <w:u w:val="none"/>
        </w:rPr>
      </w:pPr>
      <w:r>
        <w:rPr>
          <w:b w:val="0"/>
          <w:sz w:val="24"/>
          <w:u w:val="none"/>
        </w:rPr>
        <w:t>National Action Plan and Strategy HIV and AIDS in Indonesia_2015_2019_FINAL.pdf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7" type="#_x0000_t75" alt="Title: RPJP_2005-2025_Long Term Development Planning_Indonesian version.pdf" style="width:40pt;height:40pt;margin-top:0;margin-left:0;mso-position-vertical:bottom;position:absolute;z-index:-251644928" o:oleicon="t">
            <v:imagedata r:id="rId8" o:title=""/>
          </v:shape>
          <o:OLEObject Type="Embed" ProgID="Package" ShapeID="_x0000_s1037" DrawAspect="Icon" ObjectID="_12" r:id="rId21"/>
        </w:pict>
      </w:r>
    </w:p>
    <w:p w:rsidR="00C07D60" w:rsidP="00527AD0">
      <w:pPr>
        <w:jc w:val="left"/>
        <w:rPr>
          <w:b/>
          <w:sz w:val="24"/>
          <w:u w:val="single"/>
        </w:rPr>
      </w:pPr>
    </w:p>
    <w:p w:rsidR="00C07D60" w:rsidP="00527AD0">
      <w:pPr>
        <w:jc w:val="left"/>
        <w:rPr>
          <w:b w:val="0"/>
          <w:sz w:val="24"/>
          <w:u w:val="none"/>
        </w:rPr>
      </w:pPr>
      <w:r>
        <w:rPr>
          <w:b w:val="0"/>
          <w:sz w:val="24"/>
          <w:u w:val="none"/>
        </w:rPr>
        <w:t>RPJP_2005-2025_Long Term Development Planning_Indonesian version.pdf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8" type="#_x0000_t75" alt="Title: UNPDF 2016 - 2020_22 September-Bappenas.pdf" style="width:40pt;height:40pt;margin-top:0;margin-left:0;mso-position-vertical:bottom;position:absolute;z-index:-251643904" o:oleicon="t">
            <v:imagedata r:id="rId8" o:title=""/>
          </v:shape>
          <o:OLEObject Type="Embed" ProgID="Package" ShapeID="_x0000_s1038" DrawAspect="Icon" ObjectID="_13" r:id="rId22"/>
        </w:pict>
      </w:r>
    </w:p>
    <w:p w:rsidR="00C07D60" w:rsidP="00527AD0">
      <w:pPr>
        <w:jc w:val="left"/>
        <w:rPr>
          <w:b/>
          <w:sz w:val="24"/>
          <w:u w:val="single"/>
        </w:rPr>
      </w:pPr>
    </w:p>
    <w:p w:rsidR="00C07D60" w:rsidP="00527AD0">
      <w:pPr>
        <w:jc w:val="left"/>
        <w:rPr>
          <w:b w:val="0"/>
          <w:sz w:val="24"/>
          <w:u w:val="none"/>
        </w:rPr>
      </w:pPr>
      <w:r>
        <w:rPr>
          <w:b w:val="0"/>
          <w:sz w:val="24"/>
          <w:u w:val="none"/>
        </w:rPr>
        <w:t>UNPDF 2016 - 2020_22 September-Bappenas.pdf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9" type="#_x0000_t75" alt="Title: After Dark_FINAL.pdf" style="width:40pt;height:40pt;margin-top:0;margin-left:0;mso-position-vertical:bottom;position:absolute;z-index:-251642880" o:oleicon="t">
            <v:imagedata r:id="rId8" o:title=""/>
          </v:shape>
          <o:OLEObject Type="Embed" ProgID="Package" ShapeID="_x0000_s1039" DrawAspect="Icon" ObjectID="_14" r:id="rId23"/>
        </w:pict>
      </w:r>
    </w:p>
    <w:p w:rsidR="00C07D60" w:rsidP="00527AD0">
      <w:pPr>
        <w:jc w:val="left"/>
        <w:rPr>
          <w:b/>
          <w:sz w:val="24"/>
          <w:u w:val="single"/>
        </w:rPr>
      </w:pPr>
    </w:p>
    <w:p w:rsidR="00C07D60" w:rsidP="00527AD0">
      <w:pPr>
        <w:jc w:val="left"/>
        <w:rPr>
          <w:b w:val="0"/>
          <w:sz w:val="24"/>
          <w:u w:val="none"/>
        </w:rPr>
      </w:pPr>
      <w:r>
        <w:rPr>
          <w:b w:val="0"/>
          <w:sz w:val="24"/>
          <w:u w:val="none"/>
        </w:rPr>
        <w:t>After Dark_FINAL.pdf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40" type="#_x0000_t75" alt="Title: September 2019 Gender Analyses for the CCA - 15 Sept 2019 .docx" style="width:40pt;height:40pt;margin-top:0;margin-left:0;mso-position-vertical:bottom;position:absolute;z-index:-251641856" o:oleicon="t">
            <v:imagedata r:id="rId24" o:title=""/>
          </v:shape>
          <o:OLEObject Type="Embed" ProgID="Package" ShapeID="_x0000_s1040" DrawAspect="Icon" ObjectID="_15" r:id="rId25"/>
        </w:pict>
      </w:r>
    </w:p>
    <w:p w:rsidR="00C07D60" w:rsidP="00527AD0">
      <w:pPr>
        <w:jc w:val="left"/>
        <w:rPr>
          <w:b/>
          <w:sz w:val="24"/>
          <w:u w:val="single"/>
        </w:rPr>
      </w:pPr>
    </w:p>
    <w:p w:rsidR="00C07D60" w:rsidP="00527AD0">
      <w:pPr>
        <w:jc w:val="left"/>
        <w:rPr>
          <w:b w:val="0"/>
          <w:sz w:val="24"/>
          <w:u w:val="none"/>
        </w:rPr>
      </w:pPr>
      <w:r>
        <w:rPr>
          <w:b w:val="0"/>
          <w:sz w:val="24"/>
          <w:u w:val="none"/>
        </w:rPr>
        <w:t>September 2019 Gender Analyses for the CCA - 15 Sept 2019 .docx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41" type="#_x0000_t75" alt="Title: Final Indonesia CfP Village Intervention.docx" style="width:40pt;height:40pt;margin-top:0;margin-left:0;mso-position-vertical:bottom;position:absolute;z-index:-251640832" o:oleicon="t">
            <v:imagedata r:id="rId24" o:title=""/>
          </v:shape>
          <o:OLEObject Type="Embed" ProgID="Package" ShapeID="_x0000_s1041" DrawAspect="Icon" ObjectID="_16" r:id="rId26"/>
        </w:pict>
      </w:r>
    </w:p>
    <w:p w:rsidR="00C07D60" w:rsidP="00527AD0">
      <w:pPr>
        <w:jc w:val="left"/>
        <w:rPr>
          <w:b/>
          <w:sz w:val="24"/>
          <w:u w:val="single"/>
        </w:rPr>
      </w:pPr>
    </w:p>
    <w:p w:rsidR="00C07D60" w:rsidP="00527AD0">
      <w:pPr>
        <w:jc w:val="left"/>
        <w:rPr>
          <w:b w:val="0"/>
          <w:sz w:val="24"/>
          <w:u w:val="none"/>
        </w:rPr>
      </w:pPr>
      <w:r>
        <w:rPr>
          <w:b w:val="0"/>
          <w:sz w:val="24"/>
          <w:u w:val="none"/>
        </w:rPr>
        <w:t>Final Indonesia CfP Village Intervention.docx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2. Lessons learned: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Key lessons learned from implementation of AWP 2019 </w:t>
      </w:r>
    </w:p>
    <w:p>
      <w:pPr>
        <w:numPr>
          <w:ilvl w:val="0"/>
          <w:numId w:val="1"/>
        </w:numPr>
        <w:spacing w:before="240" w:after="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Capacity building of staff</w:t>
      </w:r>
      <w:r>
        <w:rPr>
          <w:rFonts w:ascii="Times New Roman" w:eastAsia="Times New Roman" w:hAnsi="Times New Roman" w:cs="Times New Roman"/>
          <w:sz w:val="24"/>
          <w:szCs w:val="24"/>
          <w:lang w:val="en-GB" w:eastAsia="en-GB"/>
        </w:rPr>
        <w:t xml:space="preserve"> to ensure that the office is ready to take on delegated authority both in programme management/implementation as well as operation. Based on lessons learned in 2019, capacity building of staff will continue to be prioritized as part of the key strategy to expand Indonesia CO, including key functions such as local PAC, local PRC and partnership selection which was previously handled and managed by ROAP </w:t>
      </w:r>
    </w:p>
    <w:p>
      <w:pPr>
        <w:numPr>
          <w:ilvl w:val="0"/>
          <w:numId w:val="1"/>
        </w:numPr>
        <w:spacing w:after="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Stronger programme linkages and moving away from project-driven activities and human resource structure</w:t>
      </w:r>
      <w:r>
        <w:rPr>
          <w:rFonts w:ascii="Times New Roman" w:eastAsia="Times New Roman" w:hAnsi="Times New Roman" w:cs="Times New Roman"/>
          <w:sz w:val="24"/>
          <w:szCs w:val="24"/>
          <w:lang w:val="en-GB" w:eastAsia="en-GB"/>
        </w:rPr>
        <w:t xml:space="preserve">. Although this will not manifest into the changes of the structure of the current SN-AWP 2020, the team and reporting structure will be realigned in 2020 to allow closer team building between different projects under the same thematic areas for instance, the consolidation of women economic empowerment portfolio will include WeEmpower Asia and WeLearn and will operate as one team under WEE portfolio. </w:t>
      </w:r>
    </w:p>
    <w:p>
      <w:pPr>
        <w:numPr>
          <w:ilvl w:val="0"/>
          <w:numId w:val="1"/>
        </w:numPr>
        <w:spacing w:after="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 xml:space="preserve">Leveraging coordination mandate to influence the UNSDCF roll-out process as well as partners/donor coordination group that is larger than the UNCT </w:t>
      </w:r>
      <w:r>
        <w:rPr>
          <w:rFonts w:ascii="Times New Roman" w:eastAsia="Times New Roman" w:hAnsi="Times New Roman" w:cs="Times New Roman"/>
          <w:sz w:val="24"/>
          <w:szCs w:val="24"/>
          <w:lang w:val="en-GB" w:eastAsia="en-GB"/>
        </w:rPr>
        <w:t>is a strategic investment to ensure that UN Women is strategically positioned for joint programmes as well as resource mobilisation.</w:t>
      </w:r>
    </w:p>
    <w:p>
      <w:pPr>
        <w:numPr>
          <w:ilvl w:val="0"/>
          <w:numId w:val="1"/>
        </w:numPr>
        <w:spacing w:after="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Sharper focus on programmatic work in AWP 2020</w:t>
      </w:r>
      <w:r>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b/>
          <w:bCs/>
          <w:sz w:val="24"/>
          <w:szCs w:val="24"/>
          <w:lang w:val="en-GB" w:eastAsia="en-GB"/>
        </w:rPr>
        <w:t>leveraging from</w:t>
      </w:r>
      <w:r>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b/>
          <w:bCs/>
          <w:sz w:val="24"/>
          <w:szCs w:val="24"/>
          <w:lang w:val="en-GB" w:eastAsia="en-GB"/>
        </w:rPr>
        <w:t>comparative advantage of Indonesia CO</w:t>
      </w:r>
      <w:r>
        <w:rPr>
          <w:rFonts w:ascii="Times New Roman" w:eastAsia="Times New Roman" w:hAnsi="Times New Roman" w:cs="Times New Roman"/>
          <w:sz w:val="24"/>
          <w:szCs w:val="24"/>
          <w:lang w:val="en-GB" w:eastAsia="en-GB"/>
        </w:rPr>
        <w:t>. While 2020 will be a year to identify resource mobilisation opportunities in Indonesia as well Indonesia linked to ASEAN, Indonesia office will focus on consolidating programmes and focus areas of work to align with UNSDCF as well as to have fewer and stronger thematic focus. Stock taking exercise will be made in 2020 to consolidate and determine UN Women’s programmatic focus in areas such as women in renewable energy and gender-responsive disaster and resilience strategies aligned with national priorities where UN Women can build on lessons learned of the work that has been done in Palu in early 2019 on gender mainstreaming in humanitarian actions (GiHA).</w:t>
      </w:r>
      <w:r>
        <w:rPr>
          <w:rFonts w:ascii="Times New Roman" w:eastAsia="Times New Roman" w:hAnsi="Times New Roman" w:cs="Times New Roman"/>
          <w:sz w:val="24"/>
          <w:szCs w:val="24"/>
          <w:lang w:val="en-GB" w:eastAsia="en-GB"/>
        </w:rPr>
        <w:t xml:space="preserve">   </w:t>
      </w:r>
    </w:p>
    <w:p>
      <w:pPr>
        <w:numPr>
          <w:ilvl w:val="0"/>
          <w:numId w:val="1"/>
        </w:numPr>
        <w:spacing w:after="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Focus on mobilising non-core resources specifically for Indonesia country programme and more strategic use of core fund</w:t>
      </w:r>
      <w:r>
        <w:rPr>
          <w:rFonts w:ascii="Times New Roman" w:eastAsia="Times New Roman" w:hAnsi="Times New Roman" w:cs="Times New Roman"/>
          <w:sz w:val="24"/>
          <w:szCs w:val="24"/>
          <w:lang w:val="en-GB" w:eastAsia="en-GB"/>
        </w:rPr>
        <w:t xml:space="preserve"> to invest in potential new and innovative programmatic areas that are more responsive on country level priorities. More efforts will be on mobilisation of non-core resources to free up core fund allocation from staff costs. </w:t>
      </w:r>
    </w:p>
    <w:p>
      <w:pPr>
        <w:numPr>
          <w:ilvl w:val="0"/>
          <w:numId w:val="1"/>
        </w:numPr>
        <w:spacing w:after="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Stronger communication and advocacy</w:t>
      </w:r>
      <w:r>
        <w:rPr>
          <w:rFonts w:ascii="Times New Roman" w:eastAsia="Times New Roman" w:hAnsi="Times New Roman" w:cs="Times New Roman"/>
          <w:sz w:val="24"/>
          <w:szCs w:val="24"/>
          <w:lang w:val="en-GB" w:eastAsia="en-GB"/>
        </w:rPr>
        <w:t xml:space="preserve"> are critical for UN Women and is expected to contribute substantially to resource mobilisation. Clear and focus communication strategy, including newly established social media account will be leveraged to promote branding and positioning of UN Women Indonesia</w:t>
      </w:r>
    </w:p>
    <w:p>
      <w:pPr>
        <w:numPr>
          <w:ilvl w:val="0"/>
          <w:numId w:val="1"/>
        </w:numPr>
        <w:spacing w:after="24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 xml:space="preserve">Expansion of strategic partnerships with other key Ministries and non-traditional partners </w:t>
      </w:r>
      <w:r>
        <w:rPr>
          <w:rFonts w:ascii="Times New Roman" w:eastAsia="Times New Roman" w:hAnsi="Times New Roman" w:cs="Times New Roman"/>
          <w:sz w:val="24"/>
          <w:szCs w:val="24"/>
          <w:lang w:val="en-GB" w:eastAsia="en-GB"/>
        </w:rPr>
        <w:t>to advance the strategic position of UN Women to promote GEEW in Indonesia. With BAPPENAS (Ministry of Planning) and Ministry of Finance, a follow up on the adoption and implementation of gender-responsive budgeting which UN Women has played a strong technical support role will be critical and strategic for increased financial allocation for GEEW across all the line Ministries. Stronger partnership with Ministry of Foreign Affairs is also key to advance governance women’s peace and security agenda, particularly women in peace keeping and the role of women as peace agents in conflict prevention, including CPVE, which are the high security priorities in the government agenda as well as in ASEAN. Indonesia CO will continue to strengthen partnership with Ministry of Manpower to advance cross-sectoral collaboration to address violence against women migrant workers. UN Women will also explore partnership key government partners such as partnership with Ministry of SME and Cooperatives to advance WEE portfolio. Other potential catalytic areas of work include partnership with the National Statistical Office (BPS) to advance gender data and statistics work with a particular focus on engendering disaster data/survey, partnership with local governments and private sector to expand for the Safe Cities initiative. Stronger ties with civil society and women’s organisation, and academia. Furthermore, the office will leverage private sector engagement to expand the WEE portfolio and explore potential and strategic engagement with women parliamentarian focusing on women’s political participation and leadership to advocate on gender and human right issues. Strategic partnerships will be established and aligned with a more consolidated programmatic focus/approach.</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3. Proposed Programme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Development Results</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AWP for 2020 will be contributing to the overall goal outlined in the SN: Women and girls in Indonesia, including the most marginalized, can fully enjoy their rights and realize their potential in a fair, prosperous and gender equal society. 2020 is the last year for implementing the current SN. While there will not be a fundamental change in the structure of DRF, more efforts will be made to sharpen the programmatic focus to inform the new SN, which will be developed in 2020 to have greater alignment with key corporate priorities outlined in the UN Women’s Strategic Plan (SP) including: i) governance and women peace and security (WPS), including CPVE; ii) women’s economic empowerment (WEE); and iii) and ending violence against women (EVAW). Strategic investment of core funds will be made to explore emerging development priorities in line with the government priorities outlined in the new RPJMN 2020-2024 and UNSDCF 2021-2025 as well as areas that have potential for non-core resource mobilisation, specifically for Indonesia CO. In addition, the country programme will also leverage from linkages with ASEAN, particularly in priority areas that Indonesia is the key players and/or have a strong role in driving the regional agenda, such as WPS/CPVE among others.</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proposed programme is based on this theory of change in Indonesia SN 2019-2020.</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of the two prioritized impact areas focuses on the uprooting of social norms and standards that are harmful to or discriminatory against women and girls and is aligned with SP Outcome 1. The other impact area deals with enabling women and girls to live a life free from violence in private and public spaces and is aligned with SP Outcome 4.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IMPACT 1: Discriminatory and harmful social norms are uprooted to achieve fair and just gender relations in line with global norms and standards on gender equality and women’s empowerment.</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Aligned with: SDG Goals 5 (especially 5.1, 5.c), 10 (especially 10.2, 10.3, 10.4), 16 (especially 16.f); CEDAW (especially articles 1, 2, 3, 5 and general recommendation 28); UNPDF (across all four outcomes[1]as gender equality is identified as a cross-cutting theme); the National Mid-Term Development Plan 2015-2019 (aims to improve quality of life and role of women in development and makes gender mainstreaming a cross-cutting issue); and the National Action Plan on Business and Human Rights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this impact, only one outcome is selected, and it focuses on </w:t>
      </w:r>
      <w:r>
        <w:rPr>
          <w:rFonts w:ascii="Times New Roman" w:eastAsia="Times New Roman" w:hAnsi="Times New Roman" w:cs="Times New Roman"/>
          <w:b/>
          <w:bCs/>
          <w:sz w:val="24"/>
          <w:szCs w:val="24"/>
        </w:rPr>
        <w:t xml:space="preserve">national stakeholders working together in a coordinated manner to translate national and international norms and standards into action, which in turn transforms attitudes and behaviors that discriminate against women and girls (Outcome 6.1).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achieve this outcome, the outputs combine engagement of duty bearers (Output 6.1.3) and rights holders (6.1.4) with a broad coalition of partners across different sectors (6.1.2). Acknowledging the emerging various dialogue platforms to promote GE and ending VAW including social media, this year, the office will engage more public influencers including public figures, sport athletes, and youth activists. These multi-stakeholder advocacy platforms will bring them all together and use their combined strength to consistently drive gender discourse, promoting a greater understanding of benefits of gender equality for all.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Including also here, support for women’s organisation to accelerate the achievement of Beijing+25 recommendations (Output 6.1.2). This year an expanding WEE and private sector engagement portfolio with EU funded project WeEmpower Asia will also be implemented (Output 6.2.1, 6.2.2 and 6.2.3). Efforts to be made that mutually reinforce the expected common objectives to increase capacity of women entrepreneurs by using shared digital learning platforms that developed under WE-Unilever funding.</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Enhancing social cohesion and building community resilience to prevent and countering violent extremism will be supported through series of capacity building activities to empowering local leaders and women in selected peace villages, a joint programme with other UN Agencies (Output 6.1.4). Building on the previous established community based mechanisms to address increased intolerance and community conflict will be utilised to prevent and address women’s right challenges such as early marriage and sexual harassment at education facilities.  The importance of collecting knowledge and data to inform the debate on uprooting harmful social norms is reflected in the outputs that focus on gathering gendered statistics and knowledge on the impacts of discriminatory social norms on women’s empowerment (outputs 6.1.1 and 6.1.7).  Strengthening the work on intersectionality will also be emphasised, i.e. EVAW, WEE, HIV and Disability. These will also be specifically important in relation to the principle of “leaving no one behind,” though there is no specific budget allocated, in the implementation of capacity building activities will include respective beneficiaries.</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increased engagement will be sought with traditional partners, such as duty bearers (especially MoWECP, Ministry of ManPower, BAPPENAS and Local Government) and rights holders (women’s groups, women small owned enterprises, media, academia, communities). Also, less traditional partners, including youth, men influencer in media, academia and ultimately the private sector will be key in turning the tide on how gender roles are understood and reflected in people’s behaviour (outputs 6.1.2 and 6.1.4).</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IMPACT 2: All women and girls are safe and free from violence in private and public spaces</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Aligned with: SDG Goals 5 (especially 5.2, 5.3), 11 (especially 11.2, 11.7), 16 (especially 16.1-16.3); CEDAW (especially articles 2, 5 and general recommendations 12, 19, 33, 35); UNPDF (outcomes 2 and 4); the National Mid-Term Development Plan 2015-2019 (which aims to improve the protection of women from violence and trafficking); the National Action Plan for the Protection and Empowerment of Women and Children during Social Conflicts 2014-2019; the Law on the Elimination of Domestic Violence; Ministerial Declaration No. 1/2010, on a Minimum Service Standards on Integrated Services for Women and Children Victims of Violence</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this impact, two complementary outcomes combining prevention and response are selected to contribute to its implementation.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Outcome 3.1 aims to establish stronger mechanisms to prevent and respond VAWG at national and sub-national levels.</w:t>
      </w:r>
      <w:r>
        <w:rPr>
          <w:rFonts w:ascii="Times New Roman" w:eastAsia="Times New Roman" w:hAnsi="Times New Roman" w:cs="Times New Roman"/>
          <w:sz w:val="24"/>
          <w:szCs w:val="24"/>
        </w:rPr>
        <w:t xml:space="preserve"> Aiming to expand programmatic entry point to build a more comprehensive approach to gender justice the office will focus on advancing women human rights by supporting essential services and legal remedies for SGBV survivors (with technical and financial support from the regional A2J programme). The five outputs under this outcome look at the prevention of VAWG in different contexts. Outputs 3.1.1 and 3.1.2 focus on strengthening the capacity of relevant ministries to improve coordination among those agencies in the provision of support services for women migrant workers within labour migration governance, specifically in pre-deployment and response to victims of VAW at post-deployment. The capacity of service providers (e.g., recruitment agencies, police, medical, justice, among others) will be improved to ensure the provision of gender-sensitive approaches that accommodate the needs of women migrant workers, under the framework of the Minimum Essential Service Package on VAW.</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Outputs 3.1.3 and 3.1.4, on the other hand, outline the interventions related to VAWG prevention in the context of HIV/AIDS. The first aims to support the Ministry of Health to review the National Action Plan on HIV and the Global Fund with a focus on making national HIV response and policy in Indonesia gender-responsive. The second aims to build capacity of communities and key stakeholders to integrate components of intimate partner violence (IPV) and to support the National Partner Notification Initiative.  All these outputs translate the principle of “leaving no one behind” into action by focusing on the most marginalized individuals. Output 3.1.5 brings VAWG prevention into public spaces by supporting city administrations in pilot cities to make urban planning a tool for ensuring the safety of women and girls outside of their homes and workplaces.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2020 is a pivotal year for the 25th Anniversary of Beijing Platform for Action (Beijing+25), 20th Anniversary of the UNSCR 1325 and 5th year since the adoption of the Agenda 2030 for Sustainable Development and SDGs</w:t>
      </w:r>
      <w:r>
        <w:rPr>
          <w:rFonts w:ascii="Times New Roman" w:eastAsia="Times New Roman" w:hAnsi="Times New Roman" w:cs="Times New Roman"/>
          <w:sz w:val="24"/>
          <w:szCs w:val="24"/>
        </w:rPr>
        <w:t xml:space="preserve">. Indonesia CO have worked closely with civil society and Komnas Perempuan to produce a shadow report to the national review of the Beijing+25 and will identify key strategy to use the report for further advocacy in 2020. This includes engagement with key influencers, women parliamentarians and youth to drive greater commitment of Indonesia for gender equality and empowerment of women and girls in the context of Indonesia leveraging from Beijing+25 to gain higher visibility. In addition, Indonesia CO will work closely with ROAP in identifying representatives from key civil society and women organizations to attend the Global Forum in 2020 to ensure that the voices of marginalised women and girls in Indonesia are amplified in the internal dialogue and discussion. In 2020, particular efforts will be made to strengthen relationship with Ministry of Foreign Affairs and the Foreign Minister in order to support the translation of Indonesia’s commitment on WPS agenda into practice, particularly in areas of women in peace keeping as well as women as peace agent in CPVE efforts, leveraging from the 20th anniversary of UNSCR 1325 and Indonesia’s current position as a non-permanent member of the UN Security Council and Human Right council.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terms of implementation of SP Common Chapter, joint programme with UNDP and UNODC account for 12 per cent of total budget of AWP 2020 or approximately USD 240,994.64. In 2020, UN Women has joint proposal in the pipeline to expand joint programmes with other UN agencies, including with UNDP and UNFPA. It also has strategically contributed to the development of UNSDCF and will use the new cooperation framework as an anchor for joint resource mobilisation to expand non-core resources from joint programmes.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42" type="#_x0000_t75" alt="Title: FINAL DR.xlsx" style="width:40pt;height:40pt;margin-top:0;margin-left:0;mso-position-vertical:bottom;position:absolute;z-index:-251639808" o:oleicon="t">
            <v:imagedata r:id="rId27" o:title=""/>
          </v:shape>
          <o:OLEObject Type="Embed" ProgID="Package" ShapeID="_x0000_s1042" DrawAspect="Icon" ObjectID="_17" r:id="rId28"/>
        </w:pict>
      </w:r>
    </w:p>
    <w:p w:rsidR="00C07D60" w:rsidP="00527AD0">
      <w:pPr>
        <w:jc w:val="left"/>
        <w:rPr>
          <w:b/>
          <w:sz w:val="24"/>
          <w:u w:val="single"/>
        </w:rPr>
      </w:pPr>
    </w:p>
    <w:p w:rsidR="00C07D60" w:rsidP="00527AD0">
      <w:pPr>
        <w:jc w:val="left"/>
        <w:rPr>
          <w:b w:val="0"/>
          <w:sz w:val="24"/>
          <w:u w:val="none"/>
        </w:rPr>
      </w:pPr>
      <w:r>
        <w:rPr>
          <w:b w:val="0"/>
          <w:sz w:val="24"/>
          <w:u w:val="none"/>
        </w:rPr>
        <w:t>FINAL DR.xlsx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43" type="#_x0000_t75" alt="Title: Final TOC.docx" style="width:40pt;height:40pt;margin-top:0;margin-left:0;mso-position-vertical:bottom;position:absolute;z-index:-251638784" o:oleicon="t">
            <v:imagedata r:id="rId24" o:title=""/>
          </v:shape>
          <o:OLEObject Type="Embed" ProgID="Package" ShapeID="_x0000_s1043" DrawAspect="Icon" ObjectID="_18" r:id="rId29"/>
        </w:pict>
      </w:r>
    </w:p>
    <w:p w:rsidR="00C07D60" w:rsidP="00527AD0">
      <w:pPr>
        <w:jc w:val="left"/>
        <w:rPr>
          <w:b/>
          <w:sz w:val="24"/>
          <w:u w:val="single"/>
        </w:rPr>
      </w:pPr>
    </w:p>
    <w:p w:rsidR="00C07D60" w:rsidP="00527AD0">
      <w:pPr>
        <w:jc w:val="left"/>
        <w:rPr>
          <w:b w:val="0"/>
          <w:sz w:val="24"/>
          <w:u w:val="none"/>
        </w:rPr>
      </w:pPr>
      <w:r>
        <w:rPr>
          <w:b w:val="0"/>
          <w:sz w:val="24"/>
          <w:u w:val="none"/>
        </w:rPr>
        <w:t>Final TOC.docx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4. Management and Operations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w:t>
      </w:r>
      <w:r>
        <w:rPr>
          <w:rFonts w:ascii="Times New Roman" w:eastAsia="Times New Roman" w:hAnsi="Times New Roman" w:cs="Times New Roman"/>
          <w:b/>
          <w:bCs/>
          <w:sz w:val="24"/>
          <w:szCs w:val="24"/>
        </w:rPr>
        <w:t>Output Cluster 4</w:t>
      </w:r>
      <w:r>
        <w:rPr>
          <w:rFonts w:ascii="Times New Roman" w:eastAsia="Times New Roman" w:hAnsi="Times New Roman" w:cs="Times New Roman"/>
          <w:sz w:val="24"/>
          <w:szCs w:val="24"/>
        </w:rPr>
        <w:t xml:space="preserve">, Indonesia CO will continue to maintain </w:t>
      </w:r>
      <w:r>
        <w:rPr>
          <w:rFonts w:ascii="Times New Roman" w:eastAsia="Times New Roman" w:hAnsi="Times New Roman" w:cs="Times New Roman"/>
          <w:b/>
          <w:bCs/>
          <w:sz w:val="24"/>
          <w:szCs w:val="24"/>
        </w:rPr>
        <w:t>strong management and operational compliance</w:t>
      </w:r>
      <w:r>
        <w:rPr>
          <w:rFonts w:ascii="Times New Roman" w:eastAsia="Times New Roman" w:hAnsi="Times New Roman" w:cs="Times New Roman"/>
          <w:sz w:val="24"/>
          <w:szCs w:val="24"/>
        </w:rPr>
        <w:t>, through systematic stock-taking of good practices and a structured approach to management of the CO, in which all team members will play active role in contributing to stronger linkages between operation and programme management. The office will focus on developing staff capacity in line with the UN Leadership Framework and individual roles under the Internal Control Framework, promoting continuous learning culture, and application of the new/updated guidance and regulations as they are established. This includes monthly and quarterly reviews of the Indonesia CO progress against all aspects of the workplan, monthly staff, programme and operations Team meetings, and weekly reviews of delivery and CO management to ensure quality of programming around priority sectors is risk-informed and mitigates the impact of political uncertainties, limitations in human and financial resources, and enables the team to maximize a high-levels of effectiveness. This approach also relies on strong partnerships with stakeholders and creating space for the Indonesia CO to explore new opportunities adapted to the local context, with dedicated planning and time invested in submission of high-quality donor reports, as a key component of building strong donor relationships, using a reporting matrix and DAMS, as well as strengthening staff capacity in results-based reporting.</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 of </w:t>
      </w:r>
      <w:r>
        <w:rPr>
          <w:rFonts w:ascii="Times New Roman" w:eastAsia="Times New Roman" w:hAnsi="Times New Roman" w:cs="Times New Roman"/>
          <w:b/>
          <w:bCs/>
          <w:sz w:val="24"/>
          <w:szCs w:val="24"/>
        </w:rPr>
        <w:t>human resources management</w:t>
      </w:r>
      <w:r>
        <w:rPr>
          <w:rFonts w:ascii="Times New Roman" w:eastAsia="Times New Roman" w:hAnsi="Times New Roman" w:cs="Times New Roman"/>
          <w:sz w:val="24"/>
          <w:szCs w:val="24"/>
        </w:rPr>
        <w:t>, Indonesia CO will continue to retain qualified staff to better implement its AWP in line with resources available, maintaining its existing 5 FTA staff positions with 15 total personnel for 2020. Indonesia will work closely with ROAP HR Business Partner to review the current structure of human resources to identify to most optimum structure and cost distribution between IB, core and non-core funds to enhance operation efficiency and effectiveness of Indonesia CO. Furthermore, the CO will maintain its investment in developing staff capacity through exchange of good practice and lessons learned based on improved knowledge management and programme coordination/management support, accountable operations support, which contributes into effective programme implementation and reduces risks related to delivery and institutional capacities. In close coordination with ROAP, the Indonesia CO will continue to invest in hands-on coaching and on-the-job training to strengthen technical and management skills for key staff and ensure compliance on operations and audit. It will also focus on expanding opportunities to exchange knowledge and lessons learned between other field offices in order to adapt to the change management process within the organisation. The Indonesia CO will continue to retain qualified staff in order to better implement its AWP through effective and efficient business processes.</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HR requirements to implement AWP 2020</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the office staff structure, the key posts that ideally should   be funded by IB, other than the Representative and the Driver (as per the existing arrangement) includes, the Operations Manager (FTA NOC) and Finance Associate (FTA GS-6). In 2019, the Operation Manager and Finance Associate posts are being funded out of core fund allocation given that IB budget was not available for Indonesia CO and it is unfortunate that decisions on IB funded posts are still pending due to the ongoing change management process. With insufficient IB resources, the CO has few other options than tapping into core funds for salary costs, rather than investing more of these catalytic resources in new programming and leveraging non-core for the long-term sustainability of Indonesia CO. Given the increasing size of the office, the large UN presence with multiple coordination and inter-agency processes, strategic importance of the country as well as its political positioning and added responsibilities for ASEAN related multi-country initiatives, the Indonesia CO needs a fully dedicated Deputy Representative function, which  has been agreed to with the RO in principle, although it would need to be aligned with the change management recommendations and it remains to be seen as to which source of funds could cover this important post.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Other team members in Indonesia CO currently include two service contract positions under WeLearn Project (equivalent to NOB and GS-5) and two service contract position under WeEmpower Asia (equivalent to NOC and GS-6).</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international positions include: Gender and Governance Programme Specialist (P4) funded from ROAP core funds but outposted to Indonesia CO to support work with ASEAN, and one Programme Analyst post (JPO equivalent to P2) fully funded by the donor (Netherlands).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44" type="#_x0000_t75" alt="Title: 2020 AWP Position Details -HR Data.xlsx" style="width:40pt;height:40pt;margin-top:0;margin-left:0;mso-position-vertical:bottom;position:absolute;z-index:-251637760" o:oleicon="t">
            <v:imagedata r:id="rId27" o:title=""/>
          </v:shape>
          <o:OLEObject Type="Embed" ProgID="Package" ShapeID="_x0000_s1044" DrawAspect="Icon" ObjectID="_19" r:id="rId30"/>
        </w:pict>
      </w:r>
    </w:p>
    <w:p w:rsidR="00C07D60" w:rsidP="00527AD0">
      <w:pPr>
        <w:jc w:val="left"/>
        <w:rPr>
          <w:b/>
          <w:sz w:val="24"/>
          <w:u w:val="single"/>
        </w:rPr>
      </w:pPr>
    </w:p>
    <w:p w:rsidR="00C07D60" w:rsidP="00527AD0">
      <w:pPr>
        <w:jc w:val="left"/>
        <w:rPr>
          <w:b w:val="0"/>
          <w:sz w:val="24"/>
          <w:u w:val="none"/>
        </w:rPr>
      </w:pPr>
      <w:r>
        <w:rPr>
          <w:b w:val="0"/>
          <w:sz w:val="24"/>
          <w:u w:val="none"/>
        </w:rPr>
        <w:t>2020 AWP Position Details -HR Data.xlsx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45" type="#_x0000_t75" alt="Title: ORGANOGRAM-AWP 2020-rev07Nov2019.pdf" style="width:40pt;height:40pt;margin-top:0;margin-left:0;mso-position-vertical:bottom;position:absolute;z-index:-251636736" o:oleicon="t">
            <v:imagedata r:id="rId8" o:title=""/>
          </v:shape>
          <o:OLEObject Type="Embed" ProgID="Package" ShapeID="_x0000_s1045" DrawAspect="Icon" ObjectID="_20" r:id="rId31"/>
        </w:pict>
      </w:r>
    </w:p>
    <w:p w:rsidR="00C07D60" w:rsidP="00527AD0">
      <w:pPr>
        <w:jc w:val="left"/>
        <w:rPr>
          <w:b/>
          <w:sz w:val="24"/>
          <w:u w:val="single"/>
        </w:rPr>
      </w:pPr>
    </w:p>
    <w:p w:rsidR="00C07D60" w:rsidP="00527AD0">
      <w:pPr>
        <w:jc w:val="left"/>
        <w:rPr>
          <w:b w:val="0"/>
          <w:sz w:val="24"/>
          <w:u w:val="none"/>
        </w:rPr>
      </w:pPr>
      <w:r>
        <w:rPr>
          <w:b w:val="0"/>
          <w:sz w:val="24"/>
          <w:u w:val="none"/>
        </w:rPr>
        <w:t>ORGANOGRAM-AWP 2020-rev07Nov2019.pdf</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5. Monitoring, Research, Evaluation, Knowledge management and Innovation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Indonesia CO will prioritize staff capacity building to apply RBM principles throughout programme cycle. It will also work in close collaboration with ROAP to enhance quality of programme-operation linkages around the following specific areas: local project/programme appraisal process, local procurement review, partnership selection and management, and management of partnership agreement (e.g. LOA/PCA/MOU) developed at the country level, high quality monitoring and reporting (RMS), management of resource mobilisation targets/pipeline (LEADS) and any other corporate tools and applications. In 2020 Indonesia office will focus on developing a new Strategic Note 2021-2025, which covers the period of 5 year to align with the new UNSDCF 2021-2025. Systematic efforts will be made to capture lessons learned from current SN and include consultations with key relevant stakeholders to inform the new SN.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46" type="#_x0000_t75" alt="Title: Indonesia MERP 2020 Final.docx" style="width:40pt;height:40pt;margin-top:0;margin-left:0;mso-position-vertical:bottom;position:absolute;z-index:-251635712" o:oleicon="t">
            <v:imagedata r:id="rId24" o:title=""/>
          </v:shape>
          <o:OLEObject Type="Embed" ProgID="Package" ShapeID="_x0000_s1046" DrawAspect="Icon" ObjectID="_21" r:id="rId32"/>
        </w:pict>
      </w:r>
    </w:p>
    <w:p w:rsidR="00C07D60" w:rsidP="00527AD0">
      <w:pPr>
        <w:jc w:val="left"/>
        <w:rPr>
          <w:b/>
          <w:sz w:val="24"/>
          <w:u w:val="single"/>
        </w:rPr>
      </w:pPr>
    </w:p>
    <w:p w:rsidR="00C07D60" w:rsidP="00527AD0">
      <w:pPr>
        <w:jc w:val="left"/>
        <w:rPr>
          <w:b w:val="0"/>
          <w:sz w:val="24"/>
          <w:u w:val="none"/>
        </w:rPr>
      </w:pPr>
      <w:r>
        <w:rPr>
          <w:b w:val="0"/>
          <w:sz w:val="24"/>
          <w:u w:val="none"/>
        </w:rPr>
        <w:t>Indonesia MERP 2020 Final.docx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6. Partnerships and Coordination :</w:t>
      </w:r>
    </w:p>
    <w:p>
      <w:pPr>
        <w:numPr>
          <w:ilvl w:val="0"/>
          <w:numId w:val="2"/>
        </w:numPr>
        <w:spacing w:after="24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 xml:space="preserve">Expansion of strategic partnerships with other key Ministries and non-traditional partners </w:t>
      </w:r>
      <w:r>
        <w:rPr>
          <w:rFonts w:ascii="Times New Roman" w:eastAsia="Times New Roman" w:hAnsi="Times New Roman" w:cs="Times New Roman"/>
          <w:sz w:val="24"/>
          <w:szCs w:val="24"/>
          <w:lang w:val="en-GB" w:eastAsia="en-GB"/>
        </w:rPr>
        <w:t>to advance the strategic position of UN Women to promote GEEW in Indonesia. With BAPPENAS (Ministry of Planning) and Ministry of Finance, a follow up on the adoption and implementation of gender-responsive budgeting which UN Women has played a strong technical support role will be critical and strategic for increased financial allocation for GEEW across all the line Ministries. Stronger partnership with Ministry of Foreign Affairs is also key to advance governance women’s peace and security agenda, particularly women in peace keeping and the role of women as peace agents in conflict prevention, including CPVE, which are the high security priorities in the government agenda as well as in ASEAN. Indonesia CO will continue to strengthen partnership with Ministry of Manpower to advance cross-sectoral collaboration to address violence against women migrant workers. UN Women will also explore partnership key government partners such as partnership with Ministry of SME and Cooperatives to advance WEE portfolio. Other potential catalytic areas of work include partnership with the National Statistical Office (BPS) to advance gender data and statistics work with a particular focus on engendering disaster data/survey, partnership with local governments and private sector to expand for the Safe Cities initiative. Stronger ties with civil society and women’s organisation, and academia. Furthermore, the office will leverage private sector engagement to expand the WEE portfolio and explore potential and strategic engagement with women parliamentarian focusing on women’s political participation and leadership to advocate on gender and human right issues. Strategic partnerships will be established and aligned with a more consolidated programmatic focus/approach.</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7. Resource Mobilization Strategy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AWP 2020, the Indonesia CO’s total projected budget is approximately USD 2.02 million, 25 per cent of which will come from Core. Of the total budget, 93 per cent is available resources with a small portion of 7 per cent that is in the hard pipeline (this is the HIV/UBRAF). Current management ratio is about 19 per cent.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 though the Indonesia office had been upgraded from a programme presence to a full-fledged office back in 2017 with the establishment of the first Representative position, full delegation of authority has effectively been in place since September 2019, entailing greater managerial, substantive and operational responsibility and accountability at the country level. This also includes more focused attention on programming not only for Indonesia but also through the Indonesia office for the wider ASEAN region, in cooperation with the ASEAN secretariat. In addition to the Representative, the Indonesia office has benefitted from a Governance specialist (P4) placed within the Indonesia office in mid-2019 to support strategic planning, management and to advance the programmatic work and capitalize on resource mobilization opportunities especially with ASEAN.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Presently, non-core resources for the office have been generated mainly through EU funding for multi-country initiatives (Spotlight- Safe and Fair) as well as through the WeEmpower project. The other major potential bilateral donors for Indonesia include Canada, Australia, Norway, and Japan. Each of these donors have two separate Ambassadors and technical teams that focus on development programming at the country (Indonesia) as well as ASEAN level. We therefore will be continuing discussions with and negotiating with each of these teams. Most of the bilateral donors for Indonesia do not seem to have gender-based programming but seem to be more interested in the integration of gender into larger sector specific investments (for instance, industrial growth/sustainable transport). Canada has indicated strong interest in supporting UN Women’s work in Indonesia and within ASEAN and we are projecting non-core commitments during the course of 2020 amounting to USD 5-6 million. Other avenues of non-core resource mobilization will be with the private sector (where we currently have a USD 400,000 project from Unilever, via HQ) and with UN system agencies in Indonesia through joint resource mobilization and entering into more joint programming arrangements. Last but not least, we will also explore the possibility of receiving co-financing for our programmes from the Government of Indonesia as a member of the G20 economies and a champion of South-South collaboration. After lengthy negotiations, UNDP has secured funding for climate action and sustainable oceans from the Government and this sets a precedent for similar partnerships to be inked on GEWE.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more </w:t>
      </w:r>
      <w:r>
        <w:rPr>
          <w:rFonts w:ascii="Times New Roman" w:eastAsia="Times New Roman" w:hAnsi="Times New Roman" w:cs="Times New Roman"/>
          <w:b/>
          <w:bCs/>
          <w:sz w:val="24"/>
          <w:szCs w:val="24"/>
        </w:rPr>
        <w:t>detailed mapping and targeted resource mobilization and partnership strategy</w:t>
      </w:r>
      <w:r>
        <w:rPr>
          <w:rFonts w:ascii="Times New Roman" w:eastAsia="Times New Roman" w:hAnsi="Times New Roman" w:cs="Times New Roman"/>
          <w:sz w:val="24"/>
          <w:szCs w:val="24"/>
        </w:rPr>
        <w:t xml:space="preserve"> is being developed and will be finalized during the first quarter of 2020.</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47" type="#_x0000_t75" alt="Title: FINALOEE.xlsx" style="width:40pt;height:40pt;margin-top:0;margin-left:0;mso-position-vertical:bottom;position:absolute;z-index:-251634688" o:oleicon="t">
            <v:imagedata r:id="rId27" o:title=""/>
          </v:shape>
          <o:OLEObject Type="Embed" ProgID="Package" ShapeID="_x0000_s1047" DrawAspect="Icon" ObjectID="_22" r:id="rId33"/>
        </w:pict>
      </w:r>
    </w:p>
    <w:p w:rsidR="00C07D60" w:rsidP="00527AD0">
      <w:pPr>
        <w:jc w:val="left"/>
        <w:rPr>
          <w:b/>
          <w:sz w:val="24"/>
          <w:u w:val="single"/>
        </w:rPr>
      </w:pPr>
    </w:p>
    <w:p w:rsidR="00C07D60" w:rsidP="00527AD0">
      <w:pPr>
        <w:jc w:val="left"/>
        <w:rPr>
          <w:b w:val="0"/>
          <w:sz w:val="24"/>
          <w:u w:val="none"/>
        </w:rPr>
      </w:pPr>
      <w:r>
        <w:rPr>
          <w:b w:val="0"/>
          <w:sz w:val="24"/>
          <w:u w:val="none"/>
        </w:rPr>
        <w:t>FINALOEE.xlsx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8. Communication and Advocacy :</w:t>
      </w:r>
    </w:p>
    <w:p w:rsidR="00C07D60" w:rsidP="00527AD0">
      <w:pPr>
        <w:jc w:val="left"/>
        <w:rPr>
          <w:b/>
          <w:sz w:val="24"/>
          <w:u w:val="single"/>
        </w:rPr>
      </w:pPr>
      <w:r>
        <w:rPr>
          <w:rFonts w:ascii="Times New Roman" w:eastAsia="Times New Roman" w:hAnsi="Times New Roman" w:cs="Times New Roman"/>
          <w:sz w:val="24"/>
          <w:szCs w:val="24"/>
        </w:rPr>
        <w:t xml:space="preserve">In terms of </w:t>
      </w:r>
      <w:r>
        <w:rPr>
          <w:rFonts w:ascii="Times New Roman" w:eastAsia="Times New Roman" w:hAnsi="Times New Roman" w:cs="Times New Roman"/>
          <w:b/>
          <w:bCs/>
          <w:sz w:val="24"/>
          <w:szCs w:val="24"/>
        </w:rPr>
        <w:t>communication and advocacy</w:t>
      </w:r>
      <w:r>
        <w:rPr>
          <w:rFonts w:ascii="Times New Roman" w:eastAsia="Times New Roman" w:hAnsi="Times New Roman" w:cs="Times New Roman"/>
          <w:sz w:val="24"/>
          <w:szCs w:val="24"/>
        </w:rPr>
        <w:t>, UN Women Indonesia has recently developed a more robust and comprehensive communication and advocacy strategy, which includes online and social media communication strategy. Apart from the regular campaign initiatives during key strategic milestones such as International Women’s Day, 16 Days of Activism, He4She, among others, Indonesia CO will identify more innovative campaign and advocacy opportunities jointly organized with key Indonesian influencers. It will also leverage from the newly established social media accounts to promote greater visibility of UN Women’s work and outreach to Indonesia population, particularly to engage a wider group of young Indonesians, who are instrumental to lead social norm and behavioural change for gender equality. The social media platforms, including Facebook, Twitter, and Instagram, target specifically young people who are active online. It will use both local Bahasa Indonesia and English language to expand target audience nation-wide and potentially in other ASEAN countries that use similar language such as Malaysia and Brunei. The communication and advocacy strategy for online and social media visibility has been developed specifically for Indonesia CO and will be used as a critical enabler for resource mobilization.</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9. Key Risks and Risk Mitigation :</w:t>
      </w:r>
    </w:p>
    <w:p>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Key risks that may affect the implementation of the AWP 2020 are diverse. They are related to context, interactions with and among partners, financial stability, the newly fully delegated as country office from a programme presence, and internal governance and capacity.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Register provides a number of suggested mitigation strategies for each risk in order to either prevent its occurrence or minimize its impact.</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terms of monitoring the risks, each risk identified in the Register will have a risk manager assigned who will be responsible to follow the developments related to the risk. A review of the risks will also be a standing item on the agenda of the quarterly internal programme implementation reviews, in order to ensure regular updates on the situation and to allow enough time to put in place mitigation measures if needed. Similar arrangements will be made for annual retreats. To be able to react promptly if the situation changes fast, risk managers will have the duty to alert management to a potentially heightened risk at regular monthly staff meetings. Office management will then decide on which mitigation measures to put in place, by whom and in what time-frame.</w:t>
      </w:r>
      <w:r>
        <w:rPr>
          <w:rFonts w:ascii="Times New Roman" w:eastAsia="Times New Roman" w:hAnsi="Times New Roman" w:cs="Times New Roman"/>
          <w:sz w:val="24"/>
          <w:szCs w:val="24"/>
        </w:rPr>
        <w:t xml:space="preserve">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48" type="#_x0000_t75" alt="Title: Indonesia_FRAUD RISK REGISTER_2020_Final.xlsx" style="width:40pt;height:40pt;margin-top:0;margin-left:0;mso-position-vertical:bottom;position:absolute;z-index:-251633664" o:oleicon="t">
            <v:imagedata r:id="rId27" o:title=""/>
          </v:shape>
          <o:OLEObject Type="Embed" ProgID="Package" ShapeID="_x0000_s1048" DrawAspect="Icon" ObjectID="_23" r:id="rId34"/>
        </w:pict>
      </w:r>
    </w:p>
    <w:p w:rsidR="00C07D60" w:rsidP="00527AD0">
      <w:pPr>
        <w:jc w:val="left"/>
        <w:rPr>
          <w:b/>
          <w:sz w:val="24"/>
          <w:u w:val="single"/>
        </w:rPr>
      </w:pPr>
    </w:p>
    <w:p w:rsidR="00C07D60" w:rsidP="00527AD0">
      <w:pPr>
        <w:jc w:val="left"/>
        <w:rPr>
          <w:b w:val="0"/>
          <w:sz w:val="24"/>
          <w:u w:val="none"/>
        </w:rPr>
      </w:pPr>
      <w:r>
        <w:rPr>
          <w:b w:val="0"/>
          <w:sz w:val="24"/>
          <w:u w:val="none"/>
        </w:rPr>
        <w:t>Indonesia_FRAUD RISK REGISTER_2020_Final.xlsx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10. Sustainability :</w:t>
      </w:r>
    </w:p>
    <w:p>
      <w:pPr>
        <w:numPr>
          <w:ilvl w:val="0"/>
          <w:numId w:val="3"/>
        </w:numPr>
        <w:spacing w:after="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Sharper focus on programmatic work in AWP 2020</w:t>
      </w:r>
      <w:r>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b/>
          <w:bCs/>
          <w:sz w:val="24"/>
          <w:szCs w:val="24"/>
          <w:lang w:val="en-GB" w:eastAsia="en-GB"/>
        </w:rPr>
        <w:t>leveraging from</w:t>
      </w:r>
      <w:r>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b/>
          <w:bCs/>
          <w:sz w:val="24"/>
          <w:szCs w:val="24"/>
          <w:lang w:val="en-GB" w:eastAsia="en-GB"/>
        </w:rPr>
        <w:t>comparative advantage of Indonesia CO</w:t>
      </w:r>
      <w:r>
        <w:rPr>
          <w:rFonts w:ascii="Times New Roman" w:eastAsia="Times New Roman" w:hAnsi="Times New Roman" w:cs="Times New Roman"/>
          <w:sz w:val="24"/>
          <w:szCs w:val="24"/>
          <w:lang w:val="en-GB" w:eastAsia="en-GB"/>
        </w:rPr>
        <w:t>. While 2020 will be a year to identify resource mobilisation opportunities in Indonesia as well Indonesia linked to ASEAN, Indonesia office will focus on consolidating programmes and focus areas of work to align with UNSDCF as well as to have fewer and stronger thematic focus. Stock taking exercise will be made in 2020 to consolidate and determine UN Women’s programmatic focus in areas such as women in renewable energy and gender-responsive disaster and resilience strategies aligned with national priorities where UN Women can build on lessons learned of the work that has been done in Central Sulawesi in early 2019 on gender mainstreaming in humanitarian actions (GiHA).</w:t>
      </w:r>
      <w:r>
        <w:rPr>
          <w:rFonts w:ascii="Times New Roman" w:eastAsia="Times New Roman" w:hAnsi="Times New Roman" w:cs="Times New Roman"/>
          <w:sz w:val="24"/>
          <w:szCs w:val="24"/>
          <w:lang w:val="en-GB" w:eastAsia="en-GB"/>
        </w:rPr>
        <w:t xml:space="preserve">   </w:t>
      </w:r>
    </w:p>
    <w:p>
      <w:pPr>
        <w:numPr>
          <w:ilvl w:val="0"/>
          <w:numId w:val="3"/>
        </w:numPr>
        <w:spacing w:after="240" w:line="240" w:lineRule="auto"/>
        <w:ind w:left="720" w:hanging="21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GB" w:eastAsia="en-GB"/>
        </w:rPr>
        <w:t>Focus on mobilising non-core resources specifically for Indonesia country programme and more strategic use of core fund</w:t>
      </w:r>
      <w:r>
        <w:rPr>
          <w:rFonts w:ascii="Times New Roman" w:eastAsia="Times New Roman" w:hAnsi="Times New Roman" w:cs="Times New Roman"/>
          <w:sz w:val="24"/>
          <w:szCs w:val="24"/>
          <w:lang w:val="en-GB" w:eastAsia="en-GB"/>
        </w:rPr>
        <w:t xml:space="preserve"> to invest in potential new and innovative programmatic areas that are more responsive on country level priorities. More efforts will be on mobilisation of non-core resources to free up core fund allocation from staff costs. </w:t>
      </w:r>
    </w:p>
    <w:p>
      <w:pPr>
        <w:spacing w:before="240" w:after="240" w:line="240" w:lineRule="auto"/>
        <w:rPr>
          <w:rFonts w:ascii="Times New Roman" w:eastAsia="Times New Roman" w:hAnsi="Times New Roman" w:cs="Times New Roman"/>
          <w:sz w:val="24"/>
          <w:szCs w:val="24"/>
        </w:rPr>
      </w:pPr>
      <w:r>
        <w:rPr>
          <w:rFonts w:ascii="Calibri" w:eastAsia="Calibri" w:hAnsi="Calibri" w:cs="Calibri"/>
          <w:color w:val="26282A"/>
        </w:rPr>
        <w:t>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sectPr>
      <w:pgSz w:w="14800" w:h="14860"/>
      <w:pgMar w:top="1208" w:right="1820" w:bottom="1208" w:left="1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pStyle w:val="FootnoteText"/>
      </w:pPr>
    </w:p>
  </w:footnote>
  <w:footnote w:id="1">
    <w:p>
      <w:pPr>
        <w:pStyle w:val="FootnoteText"/>
      </w:pPr>
    </w:p>
  </w:footnote>
  <w:footnote w:id="2">
    <w:p>
      <w:pPr>
        <w:pStyle w:val="FootnoteText"/>
      </w:pPr>
    </w:p>
  </w:footnote>
  <w:footnote w:id="3">
    <w:p>
      <w:pPr>
        <w:pStyle w:val="FootnoteText"/>
      </w:pPr>
    </w:p>
  </w:footnote>
  <w:footnote w:id="4">
    <w:p>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81"/>
  <w:drawingGridVerticalSpacing w:val="18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C79"/>
    <w:rsid w:val="001B6783"/>
    <w:rsid w:val="0028089B"/>
    <w:rsid w:val="00440CF8"/>
    <w:rsid w:val="00527AD0"/>
    <w:rsid w:val="005D51BE"/>
    <w:rsid w:val="00717011"/>
    <w:rsid w:val="00B75C79"/>
    <w:rsid w:val="00C07D60"/>
  </w:rsids>
  <m:mathPr>
    <m:mathFont m:val="Cambria Math"/>
  </m:mathPr>
  <w:themeFontLang w:val="en-IN"/>
  <w:clrSchemeMapping w:bg1="light1" w:t1="dark1" w:bg2="light2" w:t2="dark2" w:accent1="accent1" w:accent2="accent2" w:accent3="accent3" w:accent4="accent4" w:accent5="accent5" w:accent6="accent6" w:hyperlink="hyperlink" w:followedHyperlink="followedHyperlink"/>
  <w15:docId w15:val="{57A72ACC-0C4E-4899-A157-C8DA9D8B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uiPriority w:val="99"/>
    <w:rsid w:val="000F3DF7"/>
    <w:pPr>
      <w:spacing w:after="0" w:line="240" w:lineRule="auto"/>
    </w:pPr>
    <w:rPr>
      <w:sz w:val="20"/>
      <w:szCs w:val="20"/>
    </w:rPr>
  </w:style>
  <w:style w:type="character" w:customStyle="1" w:styleId="FootnoteTextChar">
    <w:name w:val="Footnote Text Char"/>
    <w:basedOn w:val="DefaultParagraphFont"/>
    <w:link w:val="FootnoteText"/>
    <w:uiPriority w:val="99"/>
    <w:rsid w:val="000F3DF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oleObject" Target="embeddings/oleObject10.bin"/><Relationship Id="rId26" Type="http://schemas.openxmlformats.org/officeDocument/2006/relationships/oleObject" Target="embeddings/oleObject17.bin"/><Relationship Id="rId39" Type="http://schemas.openxmlformats.org/officeDocument/2006/relationships/customXml" Target="../customXml/item3.xml"/><Relationship Id="rId21" Type="http://schemas.openxmlformats.org/officeDocument/2006/relationships/oleObject" Target="embeddings/oleObject13.bin"/><Relationship Id="rId34" Type="http://schemas.openxmlformats.org/officeDocument/2006/relationships/oleObject" Target="embeddings/oleObject24.bin"/><Relationship Id="rId12" Type="http://schemas.openxmlformats.org/officeDocument/2006/relationships/oleObject" Target="embeddings/oleObject4.bin"/><Relationship Id="rId17" Type="http://schemas.openxmlformats.org/officeDocument/2006/relationships/oleObject" Target="embeddings/oleObject9.bin"/><Relationship Id="rId25" Type="http://schemas.openxmlformats.org/officeDocument/2006/relationships/oleObject" Target="embeddings/oleObject16.bin"/><Relationship Id="rId33" Type="http://schemas.openxmlformats.org/officeDocument/2006/relationships/oleObject" Target="embeddings/oleObject23.bin"/><Relationship Id="rId7" Type="http://schemas.openxmlformats.org/officeDocument/2006/relationships/image" Target="media/image2.png"/><Relationship Id="rId38" Type="http://schemas.openxmlformats.org/officeDocument/2006/relationships/customXml" Target="../customXml/item2.xml"/><Relationship Id="rId16" Type="http://schemas.openxmlformats.org/officeDocument/2006/relationships/oleObject" Target="embeddings/oleObject8.bin"/><Relationship Id="rId2" Type="http://schemas.openxmlformats.org/officeDocument/2006/relationships/settings" Target="settings.xml"/><Relationship Id="rId20" Type="http://schemas.openxmlformats.org/officeDocument/2006/relationships/oleObject" Target="embeddings/oleObject12.bin"/><Relationship Id="rId29" Type="http://schemas.openxmlformats.org/officeDocument/2006/relationships/oleObject" Target="embeddings/oleObject19.bin"/><Relationship Id="rId1" Type="http://schemas.openxmlformats.org/officeDocument/2006/relationships/footnotes" Target="footnotes.xml"/><Relationship Id="rId11" Type="http://schemas.openxmlformats.org/officeDocument/2006/relationships/oleObject" Target="embeddings/oleObject3.bin"/><Relationship Id="rId24" Type="http://schemas.openxmlformats.org/officeDocument/2006/relationships/image" Target="media/image4.png"/><Relationship Id="rId32" Type="http://schemas.openxmlformats.org/officeDocument/2006/relationships/oleObject" Target="embeddings/oleObject22.bin"/><Relationship Id="rId37" Type="http://schemas.openxmlformats.org/officeDocument/2006/relationships/styles" Target="styles.xml"/><Relationship Id="rId6" Type="http://schemas.openxmlformats.org/officeDocument/2006/relationships/image" Target="media/image1.png"/><Relationship Id="rId40" Type="http://schemas.openxmlformats.org/officeDocument/2006/relationships/customXml" Target="../customXml/item4.xml"/><Relationship Id="rId15" Type="http://schemas.openxmlformats.org/officeDocument/2006/relationships/oleObject" Target="embeddings/oleObject7.bin"/><Relationship Id="rId23" Type="http://schemas.openxmlformats.org/officeDocument/2006/relationships/oleObject" Target="embeddings/oleObject15.bin"/><Relationship Id="rId28" Type="http://schemas.openxmlformats.org/officeDocument/2006/relationships/oleObject" Target="embeddings/oleObject18.bin"/><Relationship Id="rId36"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oleObject" Target="embeddings/oleObject2.bin"/><Relationship Id="rId19" Type="http://schemas.openxmlformats.org/officeDocument/2006/relationships/oleObject" Target="embeddings/oleObject11.bin"/><Relationship Id="rId31" Type="http://schemas.openxmlformats.org/officeDocument/2006/relationships/oleObject" Target="embeddings/oleObject21.bin"/><Relationship Id="rId14" Type="http://schemas.openxmlformats.org/officeDocument/2006/relationships/oleObject" Target="embeddings/oleObject6.bin"/><Relationship Id="rId22" Type="http://schemas.openxmlformats.org/officeDocument/2006/relationships/oleObject" Target="embeddings/oleObject14.bin"/><Relationship Id="rId27" Type="http://schemas.openxmlformats.org/officeDocument/2006/relationships/image" Target="media/image5.png"/><Relationship Id="rId30" Type="http://schemas.openxmlformats.org/officeDocument/2006/relationships/oleObject" Target="embeddings/oleObject20.bin"/><Relationship Id="rId3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oleObject" Target="embeddings/oleObject1.bin"/><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273880CBB3B143B8482C01086D00A5" ma:contentTypeVersion="13" ma:contentTypeDescription="Create a new document." ma:contentTypeScope="" ma:versionID="8a2e73ae16b22958edb0962785feb1c9">
  <xsd:schema xmlns:xsd="http://www.w3.org/2001/XMLSchema" xmlns:xs="http://www.w3.org/2001/XMLSchema" xmlns:p="http://schemas.microsoft.com/office/2006/metadata/properties" xmlns:ns2="2460734d-59bd-428b-881b-8dfef55a5bef" xmlns:ns3="1d79e625-5769-4e01-b48b-1e20633cc44a" targetNamespace="http://schemas.microsoft.com/office/2006/metadata/properties" ma:root="true" ma:fieldsID="7742bf54f4bcc0a7ea51c2f584c79e87" ns2:_="" ns3:_="">
    <xsd:import namespace="2460734d-59bd-428b-881b-8dfef55a5bef"/>
    <xsd:import namespace="1d79e625-5769-4e01-b48b-1e20633cc4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60734d-59bd-428b-881b-8dfef55a5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Reviewed" ma:index="20" nillable="true" ma:displayName="Reviewed" ma:default="0" ma:format="Dropdown" ma:internalName="Review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d79e625-5769-4e01-b48b-1e20633cc44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viewed xmlns="2460734d-59bd-428b-881b-8dfef55a5bef">false</Reviewed>
  </documentManagement>
</p:properties>
</file>

<file path=customXml/itemProps1.xml><?xml version="1.0" encoding="utf-8"?>
<ds:datastoreItem xmlns:ds="http://schemas.openxmlformats.org/officeDocument/2006/customXml" ds:itemID="{BBBD6846-5C24-4063-A4A5-0D7BACE62A02}">
  <ds:schemaRefs>
    <ds:schemaRef ds:uri="http://schemas.openxmlformats.org/officeDocument/2006/bibliography"/>
  </ds:schemaRefs>
</ds:datastoreItem>
</file>

<file path=customXml/itemProps2.xml><?xml version="1.0" encoding="utf-8"?>
<ds:datastoreItem xmlns:ds="http://schemas.openxmlformats.org/officeDocument/2006/customXml" ds:itemID="{68924592-845D-4787-8651-77AF288FF523}"/>
</file>

<file path=customXml/itemProps3.xml><?xml version="1.0" encoding="utf-8"?>
<ds:datastoreItem xmlns:ds="http://schemas.openxmlformats.org/officeDocument/2006/customXml" ds:itemID="{1C84A378-71A1-440C-B0F6-1C96E9D5C14B}"/>
</file>

<file path=customXml/itemProps4.xml><?xml version="1.0" encoding="utf-8"?>
<ds:datastoreItem xmlns:ds="http://schemas.openxmlformats.org/officeDocument/2006/customXml" ds:itemID="{21B8488A-D51A-47E4-A08C-E0E120805E84}"/>
</file>

<file path=docProps/app.xml><?xml version="1.0" encoding="utf-8"?>
<Properties xmlns="http://schemas.openxmlformats.org/officeDocument/2006/extended-properties" xmlns:vt="http://schemas.openxmlformats.org/officeDocument/2006/docPropsVTypes">
  <Template>Normal</Template>
  <TotalTime>7</TotalTime>
  <Pages>1</Pages>
  <Words>76</Words>
  <Characters>437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Manish Birendra Rawat</cp:lastModifiedBy>
  <cp:revision>6</cp:revision>
  <dcterms:created xsi:type="dcterms:W3CDTF">2018-10-02T10:37:00Z</dcterms:created>
  <dcterms:modified xsi:type="dcterms:W3CDTF">2018-10-02T15:07:00Z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0x010100FC273880CBB3B143B8482C01086D00A5</vt:lpwstr>
  </property>
</Properties>
</file>