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8.4 -->
  <w:body>
    <w:p w:rsidR="00B75C79">
      <w:r>
        <w:rPr>
          <w:noProof/>
        </w:rPr>
        <w:drawing>
          <wp:anchor distT="0" distB="0" distL="114300" distR="114300" simplePos="0" relativeHeight="251658240" behindDoc="1" locked="0" layoutInCell="1" allowOverlap="1">
            <wp:simplePos x="0" y="0"/>
            <wp:positionH relativeFrom="column">
              <wp:posOffset>5981700</wp:posOffset>
            </wp:positionH>
            <wp:positionV relativeFrom="paragraph">
              <wp:posOffset>153670</wp:posOffset>
            </wp:positionV>
            <wp:extent cx="1599565" cy="475615"/>
            <wp:effectExtent l="0" t="0" r="635" b="63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299865" name="New Bitmap Image.jpg"/>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a:xfrm>
                      <a:off x="0" y="0"/>
                      <a:ext cx="1599565" cy="475615"/>
                    </a:xfrm>
                    <a:prstGeom prst="rect">
                      <a:avLst/>
                    </a:prstGeom>
                  </pic:spPr>
                </pic:pic>
              </a:graphicData>
            </a:graphic>
          </wp:anchor>
        </w:drawing>
      </w:r>
      <w:r w:rsidR="00717011">
        <w:rPr>
          <w:noProof/>
        </w:rPr>
        <w:drawing>
          <wp:inline distT="0" distB="0" distL="0" distR="0">
            <wp:extent cx="1275000" cy="75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30761" name="New Bitmap Image.jpg"/>
                    <pic:cNvPicPr/>
                  </pic:nvPicPr>
                  <pic:blipFill>
                    <a:blip xmlns:r="http://schemas.openxmlformats.org/officeDocument/2006/relationships" r:embed="rId7" cstate="print"/>
                    <a:stretch>
                      <a:fillRect/>
                    </a:stretch>
                  </pic:blipFill>
                  <pic:spPr>
                    <a:xfrm>
                      <a:off x="0" y="0"/>
                      <a:ext cx="2550000" cy="1500000"/>
                    </a:xfrm>
                    <a:prstGeom prst="rect">
                      <a:avLst/>
                    </a:prstGeom>
                  </pic:spPr>
                </pic:pic>
              </a:graphicData>
            </a:graphic>
          </wp:inline>
        </w:drawing>
      </w:r>
    </w:p>
    <w:p w:rsidR="00B75C79">
      <w:pPr>
        <w:jc w:val="center"/>
      </w:pPr>
      <w:r>
        <w:br/>
      </w:r>
      <w:r>
        <w:rPr>
          <w:rFonts w:ascii="Calibri" w:hAnsi="Calibri"/>
          <w:sz w:val="56"/>
        </w:rPr>
        <w:t xml:space="preserve">UN Women Strategic Note </w:t>
      </w:r>
      <w:r w:rsidR="00C07D60">
        <w:rPr>
          <w:rFonts w:ascii="Calibri" w:hAnsi="Calibri"/>
          <w:noProof/>
          <w:sz w:val="56"/>
        </w:rPr>
        <w:t>2018</w:t>
      </w:r>
      <w:r>
        <w:rPr>
          <w:rFonts w:ascii="Calibri" w:hAnsi="Calibri"/>
          <w:sz w:val="56"/>
        </w:rPr>
        <w:t>-</w:t>
      </w:r>
      <w:r w:rsidR="00C07D60">
        <w:rPr>
          <w:rFonts w:ascii="Calibri" w:hAnsi="Calibri"/>
          <w:noProof/>
          <w:sz w:val="56"/>
        </w:rPr>
        <w:t>2020</w:t>
      </w:r>
    </w:p>
    <w:p w:rsidR="00B75C79">
      <w:pPr>
        <w:jc w:val="center"/>
      </w:pPr>
      <w:r>
        <w:rPr>
          <w:rFonts w:ascii="Calibri" w:hAnsi="Calibri"/>
          <w:b/>
          <w:caps/>
          <w:color w:val="0099CC"/>
          <w:sz w:val="32"/>
        </w:rPr>
        <w:t xml:space="preserve">UN WOMEN </w:t>
      </w:r>
      <w:r w:rsidR="00C07D60">
        <w:rPr>
          <w:rFonts w:ascii="Calibri" w:hAnsi="Calibri"/>
          <w:b/>
          <w:noProof/>
          <w:color w:val="0099CC"/>
          <w:sz w:val="32"/>
        </w:rPr>
        <w:t>CAMEROON</w:t>
      </w:r>
      <w:r>
        <w:rPr>
          <w:rFonts w:ascii="Calibri" w:hAnsi="Calibri"/>
          <w:b/>
          <w:caps/>
          <w:color w:val="0099CC"/>
          <w:sz w:val="32"/>
        </w:rPr>
        <w:t xml:space="preserve"> </w:t>
      </w:r>
      <w:r w:rsidR="00527AD0">
        <w:rPr>
          <w:rFonts w:ascii="Calibri" w:hAnsi="Calibri"/>
          <w:b/>
          <w:noProof/>
          <w:color w:val="0099CC"/>
          <w:sz w:val="32"/>
        </w:rPr>
        <w:t>COUNTRY</w:t>
      </w:r>
      <w:r>
        <w:rPr>
          <w:rFonts w:ascii="Calibri" w:hAnsi="Calibri"/>
          <w:b/>
          <w:caps/>
          <w:color w:val="0099CC"/>
          <w:sz w:val="32"/>
        </w:rPr>
        <w:t xml:space="preserve"> OFFICE</w:t>
      </w:r>
    </w:p>
    <w:p w:rsidR="00B75C79">
      <w:pPr>
        <w:jc w:val="center"/>
      </w:pPr>
      <w:r>
        <w:rPr>
          <w:rFonts w:ascii="Calibri" w:hAnsi="Calibri"/>
          <w:b/>
          <w:color w:val="0099CC"/>
          <w:sz w:val="32"/>
        </w:rPr>
        <w:t xml:space="preserve">SN REPORT </w:t>
      </w:r>
      <w:r w:rsidR="00527AD0">
        <w:rPr>
          <w:rFonts w:ascii="Calibri" w:hAnsi="Calibri"/>
          <w:b/>
          <w:noProof/>
          <w:color w:val="0099CC"/>
          <w:sz w:val="32"/>
        </w:rPr>
        <w:t>2018</w:t>
      </w:r>
    </w:p>
    <w:p w:rsidR="00B75C79" w:rsidP="00527AD0">
      <w:pPr>
        <w:jc w:val="center"/>
        <w:rPr>
          <w:rFonts w:ascii="Calibri" w:hAnsi="Calibri"/>
          <w:color w:val="C00000"/>
          <w:sz w:val="28"/>
        </w:rPr>
      </w:pPr>
      <w:r>
        <w:br/>
      </w:r>
      <w:r>
        <w:br/>
      </w:r>
      <w:r>
        <w:br/>
      </w:r>
      <w:r>
        <w:br/>
      </w:r>
      <w:r w:rsidR="005D51BE">
        <w:rPr>
          <w:rFonts w:ascii="Calibri" w:hAnsi="Calibri"/>
          <w:b/>
          <w:noProof/>
          <w:color w:val="0099CC"/>
          <w:sz w:val="32"/>
        </w:rPr>
        <w:t>Narrative</w:t>
      </w:r>
      <w:r>
        <w:br/>
      </w:r>
      <w:r>
        <w:br/>
      </w:r>
      <w:r>
        <w:br/>
      </w:r>
      <w:r>
        <w:br/>
      </w:r>
      <w:r>
        <w:br/>
      </w:r>
      <w:r>
        <w:br/>
      </w:r>
      <w:r>
        <w:br/>
      </w:r>
      <w:r>
        <w:br/>
      </w:r>
      <w:r>
        <w:br/>
      </w:r>
      <w:r>
        <w:br/>
      </w:r>
      <w:r>
        <w:br/>
      </w:r>
      <w:r>
        <w:br/>
      </w:r>
      <w:r>
        <w:br/>
      </w:r>
      <w:r>
        <w:br/>
      </w:r>
      <w:r>
        <w:br/>
      </w:r>
      <w:r>
        <w:br/>
      </w:r>
      <w:r>
        <w:br/>
      </w:r>
      <w:r>
        <w:br/>
      </w:r>
      <w:r>
        <w:rPr>
          <w:rFonts w:ascii="Calibri" w:hAnsi="Calibri"/>
          <w:color w:val="C00000"/>
          <w:sz w:val="28"/>
        </w:rPr>
        <w:t xml:space="preserve">Report Date: </w:t>
      </w:r>
      <w:r w:rsidR="00527AD0">
        <w:rPr>
          <w:rFonts w:ascii="Calibri" w:hAnsi="Calibri"/>
          <w:noProof/>
          <w:color w:val="C00000"/>
          <w:sz w:val="28"/>
        </w:rPr>
        <w:t>5/5</w:t>
      </w:r>
      <w:r w:rsidR="00527AD0">
        <w:rPr>
          <w:rFonts w:ascii="Calibri" w:hAnsi="Calibri"/>
          <w:noProof/>
          <w:color w:val="C00000"/>
          <w:sz w:val="28"/>
        </w:rPr>
        <w:t>/2020</w:t>
      </w:r>
    </w:p>
    <w:p w:rsidR="00C07D60" w:rsidP="00527AD0">
      <w:pPr>
        <w:jc w:val="left"/>
        <w:rPr>
          <w:b/>
          <w:sz w:val="24"/>
          <w:u w:val="single"/>
        </w:rPr>
      </w:pPr>
      <w:r>
        <w:br w:type="page"/>
      </w:r>
    </w:p>
    <w:p w:rsidR="00C07D60" w:rsidP="00527AD0">
      <w:pPr>
        <w:jc w:val="left"/>
        <w:rPr>
          <w:b/>
          <w:sz w:val="24"/>
          <w:u w:val="single"/>
        </w:rPr>
      </w:pPr>
      <w:r>
        <w:rPr>
          <w:b/>
          <w:sz w:val="24"/>
          <w:u w:val="single"/>
        </w:rPr>
        <w:t>1. Context and Situation Analysis: :</w:t>
      </w:r>
    </w:p>
    <w:p>
      <w:pPr>
        <w:spacing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Cameroon, a country strategically located at the Gulf of Guinea is a perfect junction nation between the cultures of English and French Speaking West and Central Africa, bordered by, Chad to the northeast, the Central African Republic to the east and Equatorial Guinea, Gabon, and the Republic of Congo to the south, and Nigeria to the West.</w:t>
      </w:r>
      <w:r>
        <w:rPr>
          <w:rFonts w:ascii="Calibri Light" w:eastAsia="Calibri Light" w:hAnsi="Calibri Light" w:cs="Calibri Light"/>
          <w:sz w:val="24"/>
          <w:szCs w:val="24"/>
          <w:lang w:val="en-US" w:eastAsia="en-US"/>
        </w:rPr>
        <w:t xml:space="preserve"> </w:t>
      </w:r>
      <w:r>
        <w:rPr>
          <w:rFonts w:ascii="Calibri Light" w:eastAsia="Calibri Light" w:hAnsi="Calibri Light" w:cs="Calibri Light"/>
          <w:sz w:val="24"/>
          <w:szCs w:val="24"/>
          <w:lang w:val="en-US" w:eastAsia="en-US"/>
        </w:rPr>
        <w:t>Cameroon is also one of the most diverse countries in Africa.</w:t>
      </w:r>
      <w:r>
        <w:rPr>
          <w:rFonts w:ascii="Calibri Light" w:eastAsia="Calibri Light" w:hAnsi="Calibri Light" w:cs="Calibri Light"/>
          <w:b/>
          <w:bCs/>
          <w:sz w:val="24"/>
          <w:szCs w:val="24"/>
          <w:lang w:val="en-US" w:eastAsia="en-US"/>
        </w:rPr>
        <w:t xml:space="preserve"> </w:t>
      </w:r>
      <w:r>
        <w:rPr>
          <w:rFonts w:ascii="Calibri Light" w:eastAsia="Calibri Light" w:hAnsi="Calibri Light" w:cs="Calibri Light"/>
          <w:sz w:val="24"/>
          <w:szCs w:val="24"/>
          <w:lang w:val="en-US" w:eastAsia="en-US"/>
        </w:rPr>
        <w:t>It stretches across different geo-climatic and agro-ecological zones which determine the social and economic activities of a wide range of communities, diverse by language, religion and ethnicity.</w:t>
      </w:r>
      <w:r>
        <w:rPr>
          <w:rFonts w:ascii="Calibri Light" w:eastAsia="Calibri Light" w:hAnsi="Calibri Light" w:cs="Calibri Light"/>
          <w:sz w:val="24"/>
          <w:szCs w:val="24"/>
          <w:lang w:val="en-US" w:eastAsia="en-US"/>
        </w:rPr>
        <w:fldChar w:fldCharType="begin"/>
      </w:r>
      <w:r>
        <w:rPr>
          <w:rFonts w:ascii="Calibri Light" w:eastAsia="Calibri Light" w:hAnsi="Calibri Light" w:cs="Calibri Light"/>
          <w:sz w:val="24"/>
          <w:szCs w:val="24"/>
          <w:lang w:val="en-US" w:eastAsia="en-US"/>
        </w:rPr>
        <w:instrText xml:space="preserve"> HYPERLINK \l "_ftn1" </w:instrText>
      </w:r>
      <w:r>
        <w:rPr>
          <w:rFonts w:ascii="Calibri Light" w:eastAsia="Calibri Light" w:hAnsi="Calibri Light" w:cs="Calibri Light"/>
          <w:sz w:val="24"/>
          <w:szCs w:val="24"/>
          <w:lang w:val="en-US" w:eastAsia="en-US"/>
        </w:rPr>
        <w:fldChar w:fldCharType="separate"/>
      </w:r>
      <w:bookmarkStart w:id="0" w:name="_ftnref1"/>
      <w:r>
        <w:rPr>
          <w:rFonts w:ascii="Calibri Light" w:eastAsia="Calibri Light" w:hAnsi="Calibri Light" w:cs="Calibri Light"/>
          <w:color w:val="0000EE"/>
          <w:u w:val="single" w:color="0000EE"/>
          <w:lang w:val="en-US" w:eastAsia="en-US"/>
        </w:rPr>
        <w:t>[1]</w:t>
      </w:r>
      <w:r>
        <w:rPr>
          <w:rFonts w:ascii="Calibri Light" w:eastAsia="Calibri Light" w:hAnsi="Calibri Light" w:cs="Calibri Light"/>
          <w:color w:val="0000EE"/>
          <w:u w:val="single" w:color="0000EE"/>
          <w:lang w:val="en-US" w:eastAsia="en-US"/>
        </w:rPr>
        <w:fldChar w:fldCharType="end"/>
      </w:r>
      <w:bookmarkEnd w:id="0"/>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Until recently, Cameroon has avoided the instability and violence that have characterized neighboring countries in the region</w:t>
      </w:r>
      <w:r>
        <w:rPr>
          <w:rFonts w:ascii="Calibri Light" w:eastAsia="Calibri Light" w:hAnsi="Calibri Light" w:cs="Calibri Light"/>
          <w:sz w:val="24"/>
          <w:szCs w:val="24"/>
          <w:lang w:val="en-US" w:eastAsia="en-US"/>
        </w:rPr>
        <w:t xml:space="preserve"> such as the Central African Republic (CAR). The country has started experiencing destabilizing developments in its northern and eastern areas, with recurrent Boko Haram attacks in the Far North region, and the influx of refugees from Nigeria and the CAR.</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Per the 2015 UNDP Human Development Index (HDI), Cameroon’s HDI value for 2014 was 0.512, which puts the country in the low human development category, positioning it at 153 out of 188 countries and territories. Between 1980 and 2014, Cameroon’s HDI value increased from 0.405 to 0.512, an increase of 26.4 percent or an average annual increase of about 0.69 percent. In 2014, the Gender Inequality Index of Cameroon was 0.587 and the country was ranked 132 on a total of 188. The Gender Development Index (GDI) ratio of women against men was 0.879. </w:t>
      </w:r>
    </w:p>
    <w:p>
      <w:pPr>
        <w:spacing w:before="240" w:after="12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With regards to </w:t>
      </w:r>
      <w:r>
        <w:rPr>
          <w:rFonts w:ascii="Calibri Light" w:eastAsia="Calibri Light" w:hAnsi="Calibri Light" w:cs="Calibri Light"/>
          <w:b/>
          <w:bCs/>
          <w:sz w:val="24"/>
          <w:szCs w:val="24"/>
          <w:lang w:val="en-US" w:eastAsia="en-US"/>
        </w:rPr>
        <w:t>Governance and leadership</w:t>
      </w:r>
      <w:r>
        <w:rPr>
          <w:rFonts w:ascii="Calibri Light" w:eastAsia="Calibri Light" w:hAnsi="Calibri Light" w:cs="Calibri Light"/>
          <w:sz w:val="24"/>
          <w:szCs w:val="24"/>
          <w:lang w:val="en-US" w:eastAsia="en-US"/>
        </w:rPr>
        <w:t>, though women’s political representation in Cameroon’s national Assembly has increased in the last ten years (31.1% compared with 8.9% in 2007), women’s political participation remains low overall, with significant differences between national and local levels (only 8% of local councilors, and less than 2% of political party leaders, are women). This is mainly due to: i) political parties’ discriminatory rules and regulation; ii) economic barriers to women’s participation; and iii) limited awareness on the rights of women to participate in political leadership and its benefits to communities.</w:t>
      </w:r>
    </w:p>
    <w:p>
      <w:pPr>
        <w:spacing w:before="240" w:after="12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 xml:space="preserve">Since 2012, UN Women and UNDP have supported the promotion of women’s political empowerment through awareness campaigns, and by giving technical support to the national institution for referendums and elections (ELECAM), political parties, and women leaders. </w:t>
      </w:r>
    </w:p>
    <w:p>
      <w:pPr>
        <w:spacing w:before="240" w:after="120" w:line="240" w:lineRule="auto"/>
        <w:jc w:val="both"/>
        <w:rPr>
          <w:rFonts w:ascii="Times New Roman" w:eastAsia="Times New Roman" w:hAnsi="Times New Roman" w:cs="Times New Roman"/>
          <w:sz w:val="24"/>
          <w:szCs w:val="24"/>
        </w:rPr>
      </w:pPr>
      <w:r>
        <w:rPr>
          <w:rFonts w:ascii="Calibri Light" w:eastAsia="Calibri Light" w:hAnsi="Calibri Light" w:cs="Calibri Light"/>
          <w:color w:val="FF0000"/>
          <w:sz w:val="24"/>
          <w:szCs w:val="24"/>
          <w:lang w:val="en-US" w:eastAsia="en-US"/>
        </w:rPr>
        <w:t> </w:t>
      </w:r>
    </w:p>
    <w:p>
      <w:pPr>
        <w:spacing w:before="240" w:after="12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 xml:space="preserve">In terms of </w:t>
      </w:r>
      <w:r>
        <w:rPr>
          <w:rFonts w:ascii="Calibri Light" w:eastAsia="Calibri Light" w:hAnsi="Calibri Light" w:cs="Calibri Light"/>
          <w:b/>
          <w:bCs/>
          <w:i/>
          <w:iCs/>
          <w:sz w:val="24"/>
          <w:szCs w:val="24"/>
          <w:lang w:val="en-US" w:eastAsia="en-US"/>
        </w:rPr>
        <w:t>data, gender responsive planning and budgeting</w:t>
      </w:r>
      <w:r>
        <w:rPr>
          <w:rFonts w:ascii="Calibri Light" w:eastAsia="Calibri Light" w:hAnsi="Calibri Light" w:cs="Calibri Light"/>
          <w:sz w:val="24"/>
          <w:szCs w:val="24"/>
          <w:lang w:val="en-US" w:eastAsia="en-US"/>
        </w:rPr>
        <w:t>, Cameroon is one of the very few countries that has engaged in funding gender responsive planning and budgeting for many years now. The integration of gender in the circular letter for the preparation of the national annual budget, the adoption of the national Gender Policy by the Government, the existence of gender sensitive national sector strategies and action plans, the establishment of a national quality assurance body for statistics, and the statistic visa, are among the actions and mechanisms put in place to ensure high quality statistics in the country and gender statistics as well.</w:t>
      </w:r>
    </w:p>
    <w:p>
      <w:pPr>
        <w:spacing w:before="240" w:after="12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The production of gender sensitive statistics is a national priority but it is limited to certain surveys and sectors, mainly the social sectors. Major data collection operations like the Demographic Health Surveys, poverty related survey, and electoral population census like the EDS, ECAM, ESI, RGPG</w:t>
      </w:r>
      <w:r>
        <w:rPr>
          <w:rFonts w:ascii="Calibri Light" w:eastAsia="Calibri Light" w:hAnsi="Calibri Light" w:cs="Calibri Light"/>
          <w:sz w:val="24"/>
          <w:szCs w:val="24"/>
          <w:lang w:val="en-US" w:eastAsia="en-US"/>
        </w:rPr>
        <w:fldChar w:fldCharType="begin"/>
      </w:r>
      <w:r>
        <w:rPr>
          <w:rFonts w:ascii="Calibri Light" w:eastAsia="Calibri Light" w:hAnsi="Calibri Light" w:cs="Calibri Light"/>
          <w:sz w:val="24"/>
          <w:szCs w:val="24"/>
          <w:lang w:val="en-US" w:eastAsia="en-US"/>
        </w:rPr>
        <w:instrText xml:space="preserve"> HYPERLINK \l "_ftn2" </w:instrText>
      </w:r>
      <w:r>
        <w:rPr>
          <w:rFonts w:ascii="Calibri Light" w:eastAsia="Calibri Light" w:hAnsi="Calibri Light" w:cs="Calibri Light"/>
          <w:sz w:val="24"/>
          <w:szCs w:val="24"/>
          <w:lang w:val="en-US" w:eastAsia="en-US"/>
        </w:rPr>
        <w:fldChar w:fldCharType="separate"/>
      </w:r>
      <w:bookmarkStart w:id="1" w:name="_ftnref2"/>
      <w:r>
        <w:rPr>
          <w:rFonts w:ascii="Calibri Light" w:eastAsia="Calibri Light" w:hAnsi="Calibri Light" w:cs="Calibri Light"/>
          <w:color w:val="0000EE"/>
          <w:u w:val="single" w:color="0000EE"/>
          <w:lang w:val="en-US" w:eastAsia="en-US"/>
        </w:rPr>
        <w:t>[2]</w:t>
      </w:r>
      <w:r>
        <w:rPr>
          <w:rFonts w:ascii="Calibri Light" w:eastAsia="Calibri Light" w:hAnsi="Calibri Light" w:cs="Calibri Light"/>
          <w:color w:val="0000EE"/>
          <w:u w:val="single" w:color="0000EE"/>
          <w:lang w:val="en-US" w:eastAsia="en-US"/>
        </w:rPr>
        <w:fldChar w:fldCharType="end"/>
      </w:r>
      <w:bookmarkEnd w:id="1"/>
      <w:r>
        <w:rPr>
          <w:rFonts w:ascii="Calibri Light" w:eastAsia="Calibri Light" w:hAnsi="Calibri Light" w:cs="Calibri Light"/>
          <w:sz w:val="24"/>
          <w:szCs w:val="24"/>
          <w:lang w:val="en-US" w:eastAsia="en-US"/>
        </w:rPr>
        <w:t>, include gender disaggregated statistics and women specific statistics. It is not systematic and cannot be used to influence policies and planning. There are very few dialogue platforms in Cameroon where gender sensitive data is used.</w:t>
      </w:r>
    </w:p>
    <w:p>
      <w:pPr>
        <w:spacing w:before="240" w:after="12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The National Statistical Office is committed to strengthening the production and use of gender statistics to monitor the gender equality commitments in the 2030 Agenda, but have limited technical capacity to deliver. The major challenges in supporting gender responsive planning and budgeting and effective monitoring of SDGs are: (i) limited coordination among actors in the production of systematic gender statistics at national and local levels across sectors</w:t>
      </w:r>
      <w:r>
        <w:rPr>
          <w:rFonts w:ascii="Calibri Light" w:eastAsia="Calibri Light" w:hAnsi="Calibri Light" w:cs="Calibri Light"/>
          <w:sz w:val="24"/>
          <w:szCs w:val="24"/>
          <w:lang w:val="en-US" w:eastAsia="en-US"/>
        </w:rPr>
        <w:t xml:space="preserve">; (ii) </w:t>
      </w:r>
      <w:r>
        <w:rPr>
          <w:rFonts w:ascii="Calibri Light" w:eastAsia="Calibri Light" w:hAnsi="Calibri Light" w:cs="Calibri Light"/>
          <w:sz w:val="24"/>
          <w:szCs w:val="24"/>
          <w:lang w:val="en-US" w:eastAsia="en-US"/>
        </w:rPr>
        <w:t>Project oriented gender statistics production due to funding fragmentation and limited outreach; (iii) limited technical capacity in critical social sectors (GBV) and key productive sectors, and (iv) limited access to and use of gender statistics.</w:t>
      </w:r>
    </w:p>
    <w:p>
      <w:pPr>
        <w:spacing w:before="240" w:after="12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In terms of </w:t>
      </w:r>
      <w:r>
        <w:rPr>
          <w:rFonts w:ascii="Calibri Light" w:eastAsia="Calibri Light" w:hAnsi="Calibri Light" w:cs="Calibri Light"/>
          <w:b/>
          <w:bCs/>
          <w:i/>
          <w:iCs/>
          <w:sz w:val="24"/>
          <w:szCs w:val="24"/>
          <w:lang w:val="en-US" w:eastAsia="en-US"/>
        </w:rPr>
        <w:t>women</w:t>
      </w:r>
      <w:r>
        <w:rPr>
          <w:rFonts w:ascii="Calibri Light" w:eastAsia="Calibri Light" w:hAnsi="Calibri Light" w:cs="Calibri Light"/>
          <w:sz w:val="24"/>
          <w:szCs w:val="24"/>
          <w:lang w:val="en-US" w:eastAsia="en-US"/>
        </w:rPr>
        <w:t xml:space="preserve"> </w:t>
      </w:r>
      <w:r>
        <w:rPr>
          <w:rFonts w:ascii="Calibri Light" w:eastAsia="Calibri Light" w:hAnsi="Calibri Light" w:cs="Calibri Light"/>
          <w:b/>
          <w:bCs/>
          <w:i/>
          <w:iCs/>
          <w:sz w:val="24"/>
          <w:szCs w:val="24"/>
          <w:lang w:val="en-US" w:eastAsia="en-US"/>
        </w:rPr>
        <w:t>economic empowerment</w:t>
      </w:r>
      <w:r>
        <w:rPr>
          <w:rFonts w:ascii="Calibri Light" w:eastAsia="Calibri Light" w:hAnsi="Calibri Light" w:cs="Calibri Light"/>
          <w:sz w:val="24"/>
          <w:szCs w:val="24"/>
          <w:lang w:val="en-US" w:eastAsia="en-US"/>
        </w:rPr>
        <w:t xml:space="preserve">, </w:t>
      </w:r>
      <w:r>
        <w:rPr>
          <w:rFonts w:ascii="Calibri Light" w:eastAsia="Calibri Light" w:hAnsi="Calibri Light" w:cs="Calibri Light"/>
          <w:sz w:val="24"/>
          <w:szCs w:val="24"/>
          <w:lang w:val="en-US" w:eastAsia="en-US"/>
        </w:rPr>
        <w:t xml:space="preserve">the agricultural sector in Cameroon is one of the richest in Central Africa, making the country the main food supplier in about 70% of the central African regional market. Cross border trade of agricultural produce between Cameroon and its neighbors is very developed. Women are the main actors in this cross-border trade and Kyé-Ossi is the major trading center because of its three borders (Cameroon- Gabon- Equatorial Guinee). The Agricultural sector in general is very diversified consisting of 26.7 % industrial crops, 22.9% fruit crops and 15.4 % cereals. In 2010, 58% of women in the labour force were employed in agriculture compared to 42% of men, and 87% of them are in vulnerable employment.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Despite their presence and strategic positioning in the agricultural sector, women face many challenges that hinder them from exploiting their full potential. Limited access to resources, services and technology in the productive sectors due to</w:t>
      </w:r>
      <w:r>
        <w:rPr>
          <w:rFonts w:ascii="Calibri Light" w:eastAsia="Calibri Light" w:hAnsi="Calibri Light" w:cs="Calibri Light"/>
          <w:sz w:val="24"/>
          <w:szCs w:val="24"/>
          <w:lang w:val="en-US" w:eastAsia="en-US"/>
        </w:rPr>
        <w:t xml:space="preserve"> discriminatory inheritance practices, is a major challenge particularly in rural areas, although few women own land. An assessment of women’s access to land by the United Nations Economic Commission for Africa reveals that 1 out of every 22 women own land in Cameroon</w:t>
      </w:r>
      <w:r>
        <w:rPr>
          <w:rFonts w:ascii="Calibri Light" w:eastAsia="Calibri Light" w:hAnsi="Calibri Light" w:cs="Calibri Light"/>
          <w:sz w:val="24"/>
          <w:szCs w:val="24"/>
          <w:lang w:val="en-US" w:eastAsia="en-US"/>
        </w:rPr>
        <w:fldChar w:fldCharType="begin"/>
      </w:r>
      <w:r>
        <w:rPr>
          <w:rFonts w:ascii="Calibri Light" w:eastAsia="Calibri Light" w:hAnsi="Calibri Light" w:cs="Calibri Light"/>
          <w:sz w:val="24"/>
          <w:szCs w:val="24"/>
          <w:lang w:val="en-US" w:eastAsia="en-US"/>
        </w:rPr>
        <w:instrText xml:space="preserve"> HYPERLINK \l "_ftn3" </w:instrText>
      </w:r>
      <w:r>
        <w:rPr>
          <w:rFonts w:ascii="Calibri Light" w:eastAsia="Calibri Light" w:hAnsi="Calibri Light" w:cs="Calibri Light"/>
          <w:sz w:val="24"/>
          <w:szCs w:val="24"/>
          <w:lang w:val="en-US" w:eastAsia="en-US"/>
        </w:rPr>
        <w:fldChar w:fldCharType="separate"/>
      </w:r>
      <w:bookmarkStart w:id="2" w:name="_ftnref3"/>
      <w:r>
        <w:rPr>
          <w:rFonts w:ascii="Calibri Light" w:eastAsia="Calibri Light" w:hAnsi="Calibri Light" w:cs="Calibri Light"/>
          <w:color w:val="0000EE"/>
          <w:u w:val="single" w:color="0000EE"/>
          <w:vertAlign w:val="superscript"/>
          <w:lang w:val="en-US" w:eastAsia="en-US"/>
        </w:rPr>
        <w:t>[3]</w:t>
      </w:r>
      <w:r>
        <w:rPr>
          <w:rFonts w:ascii="Calibri Light" w:eastAsia="Calibri Light" w:hAnsi="Calibri Light" w:cs="Calibri Light"/>
          <w:color w:val="0000EE"/>
          <w:u w:val="single" w:color="0000EE"/>
          <w:vertAlign w:val="superscript"/>
          <w:lang w:val="en-US" w:eastAsia="en-US"/>
        </w:rPr>
        <w:fldChar w:fldCharType="end"/>
      </w:r>
      <w:bookmarkEnd w:id="2"/>
      <w:r>
        <w:rPr>
          <w:rFonts w:ascii="Calibri Light" w:eastAsia="Calibri Light" w:hAnsi="Calibri Light" w:cs="Calibri Light"/>
          <w:sz w:val="24"/>
          <w:szCs w:val="24"/>
          <w:lang w:val="en-US" w:eastAsia="en-US"/>
        </w:rPr>
        <w:t>. Many indigenous women face discrimination based on race and gender bias</w:t>
      </w:r>
      <w:r>
        <w:rPr>
          <w:rFonts w:ascii="Calibri Light" w:eastAsia="Calibri Light" w:hAnsi="Calibri Light" w:cs="Calibri Light"/>
          <w:sz w:val="24"/>
          <w:szCs w:val="24"/>
          <w:lang w:val="en-US" w:eastAsia="en-US"/>
        </w:rPr>
        <w:fldChar w:fldCharType="begin"/>
      </w:r>
      <w:r>
        <w:rPr>
          <w:rFonts w:ascii="Calibri Light" w:eastAsia="Calibri Light" w:hAnsi="Calibri Light" w:cs="Calibri Light"/>
          <w:sz w:val="24"/>
          <w:szCs w:val="24"/>
          <w:lang w:val="en-US" w:eastAsia="en-US"/>
        </w:rPr>
        <w:instrText xml:space="preserve"> HYPERLINK \l "_ftn4" </w:instrText>
      </w:r>
      <w:r>
        <w:rPr>
          <w:rFonts w:ascii="Calibri Light" w:eastAsia="Calibri Light" w:hAnsi="Calibri Light" w:cs="Calibri Light"/>
          <w:sz w:val="24"/>
          <w:szCs w:val="24"/>
          <w:lang w:val="en-US" w:eastAsia="en-US"/>
        </w:rPr>
        <w:fldChar w:fldCharType="separate"/>
      </w:r>
      <w:bookmarkStart w:id="3" w:name="_ftnref4"/>
      <w:r>
        <w:rPr>
          <w:rFonts w:ascii="Calibri Light" w:eastAsia="Calibri Light" w:hAnsi="Calibri Light" w:cs="Calibri Light"/>
          <w:color w:val="0000EE"/>
          <w:u w:val="single" w:color="0000EE"/>
          <w:vertAlign w:val="superscript"/>
          <w:lang w:val="en-US" w:eastAsia="en-US"/>
        </w:rPr>
        <w:t>[4]</w:t>
      </w:r>
      <w:r>
        <w:rPr>
          <w:rFonts w:ascii="Calibri Light" w:eastAsia="Calibri Light" w:hAnsi="Calibri Light" w:cs="Calibri Light"/>
          <w:color w:val="0000EE"/>
          <w:u w:val="single" w:color="0000EE"/>
          <w:vertAlign w:val="superscript"/>
          <w:lang w:val="en-US" w:eastAsia="en-US"/>
        </w:rPr>
        <w:fldChar w:fldCharType="end"/>
      </w:r>
      <w:bookmarkEnd w:id="3"/>
      <w:r>
        <w:rPr>
          <w:rFonts w:ascii="Calibri Light" w:eastAsia="Calibri Light" w:hAnsi="Calibri Light" w:cs="Calibri Light"/>
          <w:sz w:val="24"/>
          <w:szCs w:val="24"/>
          <w:lang w:val="en-US" w:eastAsia="en-US"/>
        </w:rPr>
        <w:t>, mostly linked to access to land rights</w:t>
      </w:r>
      <w:r>
        <w:rPr>
          <w:rFonts w:ascii="Calibri Light" w:eastAsia="Calibri Light" w:hAnsi="Calibri Light" w:cs="Calibri Light"/>
          <w:sz w:val="24"/>
          <w:szCs w:val="24"/>
          <w:lang w:val="en-US" w:eastAsia="en-US"/>
        </w:rPr>
        <w:fldChar w:fldCharType="begin"/>
      </w:r>
      <w:r>
        <w:rPr>
          <w:rFonts w:ascii="Calibri Light" w:eastAsia="Calibri Light" w:hAnsi="Calibri Light" w:cs="Calibri Light"/>
          <w:sz w:val="24"/>
          <w:szCs w:val="24"/>
          <w:lang w:val="en-US" w:eastAsia="en-US"/>
        </w:rPr>
        <w:instrText xml:space="preserve"> HYPERLINK \l "_ftn5" </w:instrText>
      </w:r>
      <w:r>
        <w:rPr>
          <w:rFonts w:ascii="Calibri Light" w:eastAsia="Calibri Light" w:hAnsi="Calibri Light" w:cs="Calibri Light"/>
          <w:sz w:val="24"/>
          <w:szCs w:val="24"/>
          <w:lang w:val="en-US" w:eastAsia="en-US"/>
        </w:rPr>
        <w:fldChar w:fldCharType="separate"/>
      </w:r>
      <w:bookmarkStart w:id="4" w:name="_ftnref5"/>
      <w:r>
        <w:rPr>
          <w:rFonts w:ascii="Calibri Light" w:eastAsia="Calibri Light" w:hAnsi="Calibri Light" w:cs="Calibri Light"/>
          <w:color w:val="0000EE"/>
          <w:u w:val="single" w:color="0000EE"/>
          <w:vertAlign w:val="superscript"/>
          <w:lang w:val="en-US" w:eastAsia="en-US"/>
        </w:rPr>
        <w:t>[5]</w:t>
      </w:r>
      <w:r>
        <w:rPr>
          <w:rFonts w:ascii="Calibri Light" w:eastAsia="Calibri Light" w:hAnsi="Calibri Light" w:cs="Calibri Light"/>
          <w:color w:val="0000EE"/>
          <w:u w:val="single" w:color="0000EE"/>
          <w:vertAlign w:val="superscript"/>
          <w:lang w:val="en-US" w:eastAsia="en-US"/>
        </w:rPr>
        <w:fldChar w:fldCharType="end"/>
      </w:r>
      <w:bookmarkEnd w:id="4"/>
      <w:r>
        <w:rPr>
          <w:rFonts w:ascii="Calibri Light" w:eastAsia="Calibri Light" w:hAnsi="Calibri Light" w:cs="Calibri Light"/>
          <w:sz w:val="24"/>
          <w:szCs w:val="24"/>
          <w:lang w:val="en-US" w:eastAsia="en-US"/>
        </w:rPr>
        <w:t xml:space="preserve">. </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 xml:space="preserve">Women do not have access to quality extension services and inputs. Post-harvest loss due to the transportation of food items from the field to market places, greatly impacts the benefit they get from their modest production. They equally have very limited access to adequate storage, transformation and conservation facilities. Therefore, they are forced to sell their produce to middlemen at very low prices. </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agricultural potential of women is also hampered by their low financial capacity. They do not have enough financial resources to invest in agriculture, especially in forest zones. Financial institutions do not offer appropriate loan schemes to women who are engaged in agricultural activities, and interest rates on loans and payment installments do not always align with their productive activities. The situation is aggravated by the payment of collaterals. In addition, very few micro finance institutions have a national coverage and therefore are mostly concentrated in some areas. </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fact that women hardly add value to the crops they produce constitutes another major obstacle. They usually sell food crops directly from the farm without any transformation. They usually lack entrepreneurship skills and adequate processing units for adding value to their produce. Their participation in cooperatives is minimal, making it difficult for them to access markets. They tend to be less active in high value chains and do not benefit from available opportunities. </w:t>
      </w:r>
    </w:p>
    <w:p>
      <w:pPr>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Violence against women and girls </w:t>
      </w:r>
      <w:r>
        <w:rPr>
          <w:rFonts w:ascii="Calibri Light" w:eastAsia="Calibri Light" w:hAnsi="Calibri Light" w:cs="Calibri Light"/>
          <w:sz w:val="24"/>
          <w:szCs w:val="24"/>
          <w:lang w:val="en-US" w:eastAsia="en-US"/>
        </w:rPr>
        <w:t>practices occur in various forms in Cameroon. In 2012, more than 55% women in Cameroon had experienced physical violence from the age of 15</w:t>
      </w:r>
      <w:r>
        <w:rPr>
          <w:rFonts w:ascii="Calibri Light" w:eastAsia="Calibri Light" w:hAnsi="Calibri Light" w:cs="Calibri Light"/>
          <w:sz w:val="24"/>
          <w:szCs w:val="24"/>
          <w:lang w:val="en-US" w:eastAsia="en-US"/>
        </w:rPr>
        <w:fldChar w:fldCharType="begin"/>
      </w:r>
      <w:r>
        <w:rPr>
          <w:rFonts w:ascii="Calibri Light" w:eastAsia="Calibri Light" w:hAnsi="Calibri Light" w:cs="Calibri Light"/>
          <w:sz w:val="24"/>
          <w:szCs w:val="24"/>
          <w:lang w:val="en-US" w:eastAsia="en-US"/>
        </w:rPr>
        <w:instrText xml:space="preserve"> HYPERLINK \l "_ftn6" </w:instrText>
      </w:r>
      <w:r>
        <w:rPr>
          <w:rFonts w:ascii="Calibri Light" w:eastAsia="Calibri Light" w:hAnsi="Calibri Light" w:cs="Calibri Light"/>
          <w:sz w:val="24"/>
          <w:szCs w:val="24"/>
          <w:lang w:val="en-US" w:eastAsia="en-US"/>
        </w:rPr>
        <w:fldChar w:fldCharType="separate"/>
      </w:r>
      <w:bookmarkStart w:id="5" w:name="_ftnref6"/>
      <w:r>
        <w:rPr>
          <w:rFonts w:ascii="Calibri Light" w:eastAsia="Calibri Light" w:hAnsi="Calibri Light" w:cs="Calibri Light"/>
          <w:color w:val="0000EE"/>
          <w:u w:val="single" w:color="0000EE"/>
          <w:lang w:val="en-US" w:eastAsia="en-US"/>
        </w:rPr>
        <w:t>[6]</w:t>
      </w:r>
      <w:r>
        <w:rPr>
          <w:rFonts w:ascii="Calibri Light" w:eastAsia="Calibri Light" w:hAnsi="Calibri Light" w:cs="Calibri Light"/>
          <w:color w:val="0000EE"/>
          <w:u w:val="single" w:color="0000EE"/>
          <w:lang w:val="en-US" w:eastAsia="en-US"/>
        </w:rPr>
        <w:fldChar w:fldCharType="end"/>
      </w:r>
      <w:bookmarkEnd w:id="5"/>
      <w:r>
        <w:rPr>
          <w:rFonts w:ascii="Calibri Light" w:eastAsia="Calibri Light" w:hAnsi="Calibri Light" w:cs="Calibri Light"/>
          <w:sz w:val="24"/>
          <w:szCs w:val="24"/>
          <w:lang w:val="en-US" w:eastAsia="en-US"/>
        </w:rPr>
        <w:t>. In 2013, 51% of women had experienced physical and/or sexual violence from an intimate partner in their lifetime</w:t>
      </w:r>
      <w:r>
        <w:rPr>
          <w:rFonts w:ascii="Calibri Light" w:eastAsia="Calibri Light" w:hAnsi="Calibri Light" w:cs="Calibri Light"/>
          <w:sz w:val="24"/>
          <w:szCs w:val="24"/>
          <w:lang w:val="en-US" w:eastAsia="en-US"/>
        </w:rPr>
        <w:fldChar w:fldCharType="begin"/>
      </w:r>
      <w:r>
        <w:rPr>
          <w:rFonts w:ascii="Calibri Light" w:eastAsia="Calibri Light" w:hAnsi="Calibri Light" w:cs="Calibri Light"/>
          <w:sz w:val="24"/>
          <w:szCs w:val="24"/>
          <w:lang w:val="en-US" w:eastAsia="en-US"/>
        </w:rPr>
        <w:instrText xml:space="preserve"> HYPERLINK \l "_ftn7" </w:instrText>
      </w:r>
      <w:r>
        <w:rPr>
          <w:rFonts w:ascii="Calibri Light" w:eastAsia="Calibri Light" w:hAnsi="Calibri Light" w:cs="Calibri Light"/>
          <w:sz w:val="24"/>
          <w:szCs w:val="24"/>
          <w:lang w:val="en-US" w:eastAsia="en-US"/>
        </w:rPr>
        <w:fldChar w:fldCharType="separate"/>
      </w:r>
      <w:bookmarkStart w:id="6" w:name="_ftnref7"/>
      <w:r>
        <w:rPr>
          <w:rFonts w:ascii="Calibri Light" w:eastAsia="Calibri Light" w:hAnsi="Calibri Light" w:cs="Calibri Light"/>
          <w:color w:val="0000EE"/>
          <w:u w:val="single" w:color="0000EE"/>
          <w:lang w:val="en-US" w:eastAsia="en-US"/>
        </w:rPr>
        <w:t>[7]</w:t>
      </w:r>
      <w:r>
        <w:rPr>
          <w:rFonts w:ascii="Calibri Light" w:eastAsia="Calibri Light" w:hAnsi="Calibri Light" w:cs="Calibri Light"/>
          <w:color w:val="0000EE"/>
          <w:u w:val="single" w:color="0000EE"/>
          <w:lang w:val="en-US" w:eastAsia="en-US"/>
        </w:rPr>
        <w:fldChar w:fldCharType="end"/>
      </w:r>
      <w:bookmarkEnd w:id="6"/>
      <w:r>
        <w:rPr>
          <w:rFonts w:ascii="Calibri Light" w:eastAsia="Calibri Light" w:hAnsi="Calibri Light" w:cs="Calibri Light"/>
          <w:sz w:val="24"/>
          <w:szCs w:val="24"/>
          <w:lang w:val="en-US" w:eastAsia="en-US"/>
        </w:rPr>
        <w:t>. The country’s draft Family Code contains elements to reduce discriminatory practices against women</w:t>
      </w:r>
      <w:r>
        <w:rPr>
          <w:rFonts w:ascii="Calibri Light" w:eastAsia="Calibri Light" w:hAnsi="Calibri Light" w:cs="Calibri Light"/>
          <w:sz w:val="24"/>
          <w:szCs w:val="24"/>
          <w:lang w:val="en-US" w:eastAsia="en-US"/>
        </w:rPr>
        <w:fldChar w:fldCharType="begin"/>
      </w:r>
      <w:r>
        <w:rPr>
          <w:rFonts w:ascii="Calibri Light" w:eastAsia="Calibri Light" w:hAnsi="Calibri Light" w:cs="Calibri Light"/>
          <w:sz w:val="24"/>
          <w:szCs w:val="24"/>
          <w:lang w:val="en-US" w:eastAsia="en-US"/>
        </w:rPr>
        <w:instrText xml:space="preserve"> HYPERLINK \l "_ftn8" </w:instrText>
      </w:r>
      <w:r>
        <w:rPr>
          <w:rFonts w:ascii="Calibri Light" w:eastAsia="Calibri Light" w:hAnsi="Calibri Light" w:cs="Calibri Light"/>
          <w:sz w:val="24"/>
          <w:szCs w:val="24"/>
          <w:lang w:val="en-US" w:eastAsia="en-US"/>
        </w:rPr>
        <w:fldChar w:fldCharType="separate"/>
      </w:r>
      <w:bookmarkStart w:id="7" w:name="_ftnref8"/>
      <w:r>
        <w:rPr>
          <w:rFonts w:ascii="Calibri Light" w:eastAsia="Calibri Light" w:hAnsi="Calibri Light" w:cs="Calibri Light"/>
          <w:color w:val="0000EE"/>
          <w:u w:val="single" w:color="0000EE"/>
          <w:vertAlign w:val="superscript"/>
          <w:lang w:val="en-US" w:eastAsia="en-US"/>
        </w:rPr>
        <w:t>[8]</w:t>
      </w:r>
      <w:r>
        <w:rPr>
          <w:rFonts w:ascii="Calibri Light" w:eastAsia="Calibri Light" w:hAnsi="Calibri Light" w:cs="Calibri Light"/>
          <w:color w:val="0000EE"/>
          <w:u w:val="single" w:color="0000EE"/>
          <w:vertAlign w:val="superscript"/>
          <w:lang w:val="en-US" w:eastAsia="en-US"/>
        </w:rPr>
        <w:fldChar w:fldCharType="end"/>
      </w:r>
      <w:bookmarkEnd w:id="7"/>
      <w:r>
        <w:rPr>
          <w:rFonts w:ascii="Calibri Light" w:eastAsia="Calibri Light" w:hAnsi="Calibri Light" w:cs="Calibri Light"/>
          <w:sz w:val="24"/>
          <w:szCs w:val="24"/>
          <w:lang w:val="en-US" w:eastAsia="en-US"/>
        </w:rPr>
        <w:t>, as it stipulates equal sharing of parental authority, and lays down the legal age of marriage at 18 for men and women. The new Penal Code, published under the Law No 2016/007 of 12 July 2016, provides additional preventive and punitive measures against violence and early girl marriage. However, there is no specific law and regulation for ending violence against women and gilrs. The new Penal Code (Act. 277-1) does criminalize Female Genital Mutilation practices in Cameroon. The draft Family Code prescribes the legal age of marriage at 18 for men and women. But, the Civil Status Registration Ordinance provides that the minimum age of marriage is 15 for women and 18 for men.</w:t>
      </w:r>
      <w:r>
        <w:rPr>
          <w:rFonts w:ascii="Calibri Light" w:eastAsia="Calibri Light" w:hAnsi="Calibri Light" w:cs="Calibri Light"/>
          <w:b/>
          <w:bCs/>
          <w:sz w:val="24"/>
          <w:szCs w:val="24"/>
          <w:lang w:val="en-US" w:eastAsia="en-US"/>
        </w:rPr>
        <w:t xml:space="preserve"> </w:t>
      </w:r>
      <w:r>
        <w:rPr>
          <w:rFonts w:ascii="Calibri Light" w:eastAsia="Calibri Light" w:hAnsi="Calibri Light" w:cs="Calibri Light"/>
          <w:sz w:val="24"/>
          <w:szCs w:val="24"/>
          <w:lang w:val="en-US" w:eastAsia="en-US"/>
        </w:rPr>
        <w:t>There are still concerns about the contents and effectiveness of the legislation intended to prevent sexual violence and provide protection and justice for the victims</w:t>
      </w:r>
      <w:r>
        <w:rPr>
          <w:rFonts w:ascii="Calibri Light" w:eastAsia="Calibri Light" w:hAnsi="Calibri Light" w:cs="Calibri Light"/>
          <w:sz w:val="24"/>
          <w:szCs w:val="24"/>
          <w:lang w:val="en-US" w:eastAsia="en-US"/>
        </w:rPr>
        <w:fldChar w:fldCharType="begin"/>
      </w:r>
      <w:r>
        <w:rPr>
          <w:rFonts w:ascii="Calibri Light" w:eastAsia="Calibri Light" w:hAnsi="Calibri Light" w:cs="Calibri Light"/>
          <w:sz w:val="24"/>
          <w:szCs w:val="24"/>
          <w:lang w:val="en-US" w:eastAsia="en-US"/>
        </w:rPr>
        <w:instrText xml:space="preserve"> HYPERLINK \l "_ftn9" </w:instrText>
      </w:r>
      <w:r>
        <w:rPr>
          <w:rFonts w:ascii="Calibri Light" w:eastAsia="Calibri Light" w:hAnsi="Calibri Light" w:cs="Calibri Light"/>
          <w:sz w:val="24"/>
          <w:szCs w:val="24"/>
          <w:lang w:val="en-US" w:eastAsia="en-US"/>
        </w:rPr>
        <w:fldChar w:fldCharType="separate"/>
      </w:r>
      <w:bookmarkStart w:id="8" w:name="_ftnref9"/>
      <w:r>
        <w:rPr>
          <w:rFonts w:ascii="Calibri Light" w:eastAsia="Calibri Light" w:hAnsi="Calibri Light" w:cs="Calibri Light"/>
          <w:color w:val="0000EE"/>
          <w:u w:val="single" w:color="0000EE"/>
          <w:lang w:val="en-US" w:eastAsia="en-US"/>
        </w:rPr>
        <w:t>[9]</w:t>
      </w:r>
      <w:r>
        <w:rPr>
          <w:rFonts w:ascii="Calibri Light" w:eastAsia="Calibri Light" w:hAnsi="Calibri Light" w:cs="Calibri Light"/>
          <w:color w:val="0000EE"/>
          <w:u w:val="single" w:color="0000EE"/>
          <w:lang w:val="en-US" w:eastAsia="en-US"/>
        </w:rPr>
        <w:fldChar w:fldCharType="end"/>
      </w:r>
      <w:bookmarkEnd w:id="8"/>
      <w:r>
        <w:rPr>
          <w:rFonts w:ascii="Calibri Light" w:eastAsia="Calibri Light" w:hAnsi="Calibri Light" w:cs="Calibri Light"/>
          <w:sz w:val="24"/>
          <w:szCs w:val="24"/>
          <w:lang w:val="en-US" w:eastAsia="en-US"/>
        </w:rPr>
        <w:t xml:space="preserve">. </w:t>
      </w:r>
      <w:r>
        <w:rPr>
          <w:rFonts w:ascii="Calibri Light" w:eastAsia="Calibri Light" w:hAnsi="Calibri Light" w:cs="Calibri Light"/>
          <w:sz w:val="24"/>
          <w:szCs w:val="24"/>
        </w:rPr>
        <w:t>The HIV epidemic of HIV is widespread in Cameroon with 4.3% in the age group 15-49 according to the DHS 2011. (Annex 1: DHS 2011, page 265). The epidemic is still strong in Cameroon, with a feminization of 5.6% for women and 2.9% for men</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 xml:space="preserve">In </w:t>
      </w:r>
      <w:r>
        <w:rPr>
          <w:rFonts w:ascii="Calibri Light" w:eastAsia="Calibri Light" w:hAnsi="Calibri Light" w:cs="Calibri Light"/>
          <w:b/>
          <w:bCs/>
          <w:i/>
          <w:iCs/>
          <w:sz w:val="24"/>
          <w:szCs w:val="24"/>
          <w:lang w:val="en-GB" w:eastAsia="en-GB"/>
        </w:rPr>
        <w:t>women, peace and security</w:t>
      </w:r>
      <w:r>
        <w:rPr>
          <w:rFonts w:ascii="Calibri Light" w:eastAsia="Calibri Light" w:hAnsi="Calibri Light" w:cs="Calibri Light"/>
          <w:sz w:val="24"/>
          <w:szCs w:val="24"/>
          <w:lang w:val="en-GB" w:eastAsia="en-GB"/>
        </w:rPr>
        <w:t xml:space="preserve">, Cameroon has experienced political and economic stability for decades. However, it shares borders with three countries that are in open conflict resulting in massive displacement of their populations to Cameroon. The concerned countries are Nigeria (especially the north region occupied by Boko Haram), Central African Republic (CAR) and Chad. </w:t>
      </w:r>
      <w:r>
        <w:rPr>
          <w:rFonts w:ascii="Calibri Light" w:eastAsia="Calibri Light" w:hAnsi="Calibri Light" w:cs="Calibri Light"/>
          <w:color w:val="000000"/>
          <w:sz w:val="24"/>
          <w:szCs w:val="24"/>
          <w:lang w:val="en-GB" w:eastAsia="en-GB"/>
        </w:rPr>
        <w:t xml:space="preserve">Since 2013, Cameroon has faced recurrent floods, and an unexpected large scale influx of displaced persons since January 2014, </w:t>
      </w:r>
      <w:r>
        <w:rPr>
          <w:rFonts w:ascii="Calibri Light" w:eastAsia="Calibri Light" w:hAnsi="Calibri Light" w:cs="Calibri Light"/>
          <w:sz w:val="24"/>
          <w:szCs w:val="24"/>
          <w:lang w:val="en-GB" w:eastAsia="en-GB"/>
        </w:rPr>
        <w:t>settling in three main regions: The Far North (hosting refugees from Nigeria), and the East and Adamawa regions (hosting those coming from the Central African Republic).</w:t>
      </w:r>
      <w:r>
        <w:rPr>
          <w:rFonts w:ascii="Calibri Light" w:eastAsia="Calibri Light" w:hAnsi="Calibri Light" w:cs="Calibri Light"/>
          <w:sz w:val="24"/>
          <w:szCs w:val="24"/>
          <w:lang w:val="en-GB" w:eastAsia="en-GB"/>
        </w:rPr>
        <w:t xml:space="preserve">  </w:t>
      </w:r>
      <w:r>
        <w:rPr>
          <w:rFonts w:ascii="Calibri Light" w:eastAsia="Calibri Light" w:hAnsi="Calibri Light" w:cs="Calibri Light"/>
          <w:sz w:val="24"/>
          <w:szCs w:val="24"/>
          <w:lang w:val="en-GB" w:eastAsia="en-GB"/>
        </w:rPr>
        <w:t>The Far-North, Adamawa and East regions also have the highest poverty indices in Cameroon - 65.9%, 53% and 50.4% respectively.</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 </w:t>
      </w:r>
      <w:r>
        <w:rPr>
          <w:rFonts w:ascii="Calibri Light" w:eastAsia="Calibri Light" w:hAnsi="Calibri Light" w:cs="Calibri Light"/>
          <w:sz w:val="24"/>
          <w:szCs w:val="24"/>
        </w:rPr>
        <w:t>Since</w:t>
      </w:r>
      <w:r>
        <w:rPr>
          <w:rFonts w:ascii="Calibri Light" w:eastAsia="Calibri Light" w:hAnsi="Calibri Light" w:cs="Calibri Light"/>
          <w:sz w:val="24"/>
          <w:szCs w:val="24"/>
          <w:lang w:val="en-GB" w:eastAsia="en-GB"/>
        </w:rPr>
        <w:t xml:space="preserve"> November 2016, another crisis has started in the Anglophone zone (South west and North West regions). This situation which started as a strike in the justice and education sectors, escalated into a real socio - political problem, with the Anglophone zones asking for a return to federalism or secession from the francophone zone. </w:t>
      </w: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 xml:space="preserve">The socio-political situation has resulted in several demonstrations often marked with violence, deaths and allegations of rape. Schools are still closed; and the “ghost town” phenomenon is being observed every week. The current situation in the Anglophone regions is greatly affecting women’s economic activities, aggravated by the internet ban. Almost all the activities are at a standstill.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Cameroon is considered Africa in miniature because of its geographical location (middle of Central Africa) and its ecosystem (diversity of the population, environment – Sahel and forest including the grazing land). Almost all the different social cultural zones in Africa are somehow present in Cameroon. This situation, though an opportunity, tends to put the country in the middle of a complex humanitarian situation. Although there hasn’t been any open conflict in the use of natural resources, this situation should not be neglected especially as the refugees are staying longer than expected in their host communities in the East and Extreme North regions.</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security situation in the Far North Region remained unstable in July 2016. Despite on-going operations by the Multinational Force, incursions by Boko Haram fighters and suicide bombers were reported to be on the rise in several communities along the border with Nigeria, where they conducted attacks, reprisals and looting. </w:t>
      </w:r>
      <w:r>
        <w:rPr>
          <w:rFonts w:ascii="Calibri Light" w:eastAsia="Calibri Light" w:hAnsi="Calibri Light" w:cs="Calibri Light"/>
          <w:sz w:val="24"/>
          <w:szCs w:val="24"/>
        </w:rPr>
        <w:t xml:space="preserve">From January to July 2016, Boko Haram has intensified its actions using arms, including suicide attacks. This has strongly increased humanitarian needs and challenges. </w:t>
      </w:r>
      <w:r>
        <w:rPr>
          <w:rFonts w:ascii="Calibri Light" w:eastAsia="Calibri Light" w:hAnsi="Calibri Light" w:cs="Calibri Light"/>
          <w:color w:val="212121"/>
          <w:sz w:val="24"/>
          <w:szCs w:val="24"/>
          <w:shd w:val="clear" w:color="auto" w:fill="FFFFFF"/>
          <w:lang w:val="en-US" w:eastAsia="en-US"/>
        </w:rPr>
        <w:t>This situation is worsened by using women and girls as suicide bombers. The risk of recruiting young boys and girls locally as suicide bombers from neighboring villages is high, especially former Boko Haram hostages.</w:t>
      </w:r>
    </w:p>
    <w:p>
      <w:pPr>
        <w:spacing w:before="240" w:after="12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The Constitution contains a strategic orientation that provides the basis for the implementation of the Beijing Declaration and Platform for Action, and the different international conventions ratified by Cameroon to protect the Cameroonian woman such as the CEDAW. The country has developed a gender national policy with multi - sectorial action plan, and other national strategies on gender based violence and the fight against early marriage.</w:t>
      </w:r>
      <w:r>
        <w:rPr>
          <w:rFonts w:ascii="Calibri Light" w:eastAsia="Calibri Light" w:hAnsi="Calibri Light" w:cs="Calibri Light"/>
          <w:sz w:val="24"/>
          <w:szCs w:val="24"/>
          <w:lang w:val="en-GB" w:eastAsia="en-GB"/>
        </w:rPr>
        <w:t xml:space="preserve"> In response to the security situation in the country, the Government, through the Ministry of Women Empowerment and the Family and technical and financial support of UNWOMEN, has developed a national plan for women, peace and security - 1325 (NAP 1325).</w:t>
      </w:r>
      <w:r>
        <w:rPr>
          <w:rFonts w:ascii="Calibri Light" w:eastAsia="Calibri Light" w:hAnsi="Calibri Light" w:cs="Calibri Light"/>
          <w:sz w:val="24"/>
          <w:szCs w:val="24"/>
          <w:lang w:val="en-GB" w:eastAsia="en-GB"/>
        </w:rPr>
        <w:t xml:space="preserve"> </w:t>
      </w:r>
      <w:r>
        <w:rPr>
          <w:rFonts w:ascii="Calibri Light" w:eastAsia="Calibri Light" w:hAnsi="Calibri Light" w:cs="Calibri Light"/>
          <w:sz w:val="24"/>
          <w:szCs w:val="24"/>
          <w:lang w:val="en-US" w:eastAsia="en-US"/>
        </w:rPr>
        <w:t>The Ministry of Women Empowerment and the Family (MINPROFF) has the mandate to promote gender and women’s empowerment, in coordination with other relevant sector ministries with technical and financial capacities at both national and local levels.</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UN Women Country Office supports Government efforts</w:t>
      </w:r>
      <w:r>
        <w:rPr>
          <w:rFonts w:ascii="Calibri Light" w:eastAsia="Calibri Light" w:hAnsi="Calibri Light" w:cs="Calibri Light"/>
          <w:sz w:val="24"/>
          <w:szCs w:val="24"/>
          <w:lang w:val="en-US" w:eastAsia="en-US"/>
        </w:rPr>
        <w:t xml:space="preserve"> through its unique ability to leverage its triple mandate of normative support, coordination, and operational activities. This has been key to the success of the office, creating a comparative advantage vis a vis other organizations. Leveraging the triple mandate has been particularly successful in multi - sectoral areas, </w:t>
      </w:r>
      <w:r>
        <w:rPr>
          <w:rFonts w:ascii="Calibri Light" w:eastAsia="Calibri Light" w:hAnsi="Calibri Light" w:cs="Calibri Light"/>
          <w:sz w:val="24"/>
          <w:szCs w:val="24"/>
          <w:lang w:val="en-US" w:eastAsia="en-US"/>
        </w:rPr>
        <w:t xml:space="preserve">different dimensions, and multiple themes related to its overall corporate goals </w:t>
      </w:r>
      <w:r>
        <w:rPr>
          <w:rFonts w:ascii="Calibri Light" w:eastAsia="Calibri Light" w:hAnsi="Calibri Light" w:cs="Calibri Light"/>
          <w:sz w:val="24"/>
          <w:szCs w:val="24"/>
          <w:lang w:val="en-US" w:eastAsia="en-US"/>
        </w:rPr>
        <w:t xml:space="preserve">like: ending violence against women and girls, </w:t>
      </w:r>
      <w:r>
        <w:rPr>
          <w:rFonts w:ascii="Calibri Light" w:eastAsia="Calibri Light" w:hAnsi="Calibri Light" w:cs="Calibri Light"/>
          <w:sz w:val="24"/>
          <w:szCs w:val="24"/>
          <w:lang w:val="en-US" w:eastAsia="en-US"/>
        </w:rPr>
        <w:t xml:space="preserve">economic empowerment of women, peace and security and humanitarian response, and political participation. </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 xml:space="preserve">The UN country team has just completed the new UNDAF (2018-2020), which aligns with the government growth and employment strategy (DSCE). The uniqueness of this UNDAF lies in its foundation on the UN’s “Delivering as One” approach, and the participation of other key stakeholders in its formulation through a consultative process. Through that process, the UNDAF has identified four strategic pillars: (i) development of decent job opportunities and social inclusion to address the persistence of unemployment amongst the most vulnerable, especially youths and women in the poorest zones; (ii) Health and nutrition; targeting the weak capacity of health systems in responding efficiently to the physical, mental and social wellbeing of people especially vulnerable population groups (iii) Education and vocational training; which addresses the problem of </w:t>
      </w:r>
      <w:r>
        <w:rPr>
          <w:rFonts w:ascii="Calibri Light" w:eastAsia="Calibri Light" w:hAnsi="Calibri Light" w:cs="Calibri Light"/>
          <w:sz w:val="24"/>
          <w:szCs w:val="24"/>
          <w:lang w:val="en-US" w:eastAsia="en-US"/>
        </w:rPr>
        <w:t>lack of access and equity to quality professional training for vulnerable populations; (iv)</w:t>
      </w:r>
      <w:r>
        <w:rPr>
          <w:rFonts w:ascii="Calibri Light" w:eastAsia="Calibri Light" w:hAnsi="Calibri Light" w:cs="Calibri Light"/>
          <w:sz w:val="24"/>
          <w:szCs w:val="24"/>
          <w:lang w:val="en-US" w:eastAsia="en-US"/>
        </w:rPr>
        <w:t xml:space="preserve"> Resilience, food security and early recovery to address the w</w:t>
      </w:r>
      <w:r>
        <w:rPr>
          <w:rFonts w:ascii="Calibri Light" w:eastAsia="Calibri Light" w:hAnsi="Calibri Light" w:cs="Calibri Light"/>
          <w:color w:val="000000"/>
          <w:sz w:val="24"/>
          <w:szCs w:val="24"/>
          <w:lang w:val="en-US" w:eastAsia="en-US"/>
        </w:rPr>
        <w:t>eak resistance of vulnerable populations in the face of food and security crisis as well as climate change</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UN Women is an active player and, together with ILO, co-leads Pillar 1 which is on women and youth employment and a member of Pillar 4 on Resilience. The present strategic note 2018-2020 has been developed through a very participatory process with an active involvement of different actors through a series of consultative workshops with the Government, Civil society organisations, the private sector, UN agencies and technical and financial partners. The proposed programme is built from the lessons learned and priorities identified through the consultation. </w:t>
      </w:r>
    </w:p>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
          <w:szCs w:val="2"/>
        </w:rPr>
        <w:br w:type="textWrapping" w:clear="all"/>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\l "_ftnref1" </w:instrText>
      </w:r>
      <w:r>
        <w:rPr>
          <w:rFonts w:ascii="Times New Roman" w:eastAsia="Times New Roman" w:hAnsi="Times New Roman" w:cs="Times New Roman"/>
          <w:sz w:val="24"/>
          <w:szCs w:val="24"/>
        </w:rPr>
        <w:fldChar w:fldCharType="separate"/>
      </w:r>
      <w:bookmarkStart w:id="9" w:name="_ftn1"/>
      <w:r>
        <w:rPr>
          <w:rFonts w:ascii="Calibri" w:eastAsia="Calibri" w:hAnsi="Calibri" w:cs="Calibri"/>
          <w:color w:val="0000EE"/>
          <w:sz w:val="20"/>
          <w:szCs w:val="20"/>
          <w:u w:val="single" w:color="0000EE"/>
          <w:lang w:val="en-US" w:eastAsia="en-US"/>
        </w:rPr>
        <w:t>[1]</w:t>
      </w:r>
      <w:r>
        <w:rPr>
          <w:rFonts w:ascii="Calibri" w:eastAsia="Calibri" w:hAnsi="Calibri" w:cs="Calibri"/>
          <w:color w:val="0000EE"/>
          <w:sz w:val="20"/>
          <w:szCs w:val="20"/>
          <w:u w:val="single" w:color="0000EE"/>
          <w:lang w:val="en-US" w:eastAsia="en-US"/>
        </w:rPr>
        <w:fldChar w:fldCharType="end"/>
      </w:r>
      <w:bookmarkEnd w:id="9"/>
      <w:r>
        <w:rPr>
          <w:rFonts w:ascii="Times New Roman" w:eastAsia="Times New Roman" w:hAnsi="Times New Roman" w:cs="Times New Roman"/>
          <w:sz w:val="20"/>
          <w:szCs w:val="20"/>
          <w:lang w:val="en-US" w:eastAsia="en-US"/>
        </w:rPr>
        <w:t xml:space="preserve"> </w:t>
      </w:r>
      <w:r>
        <w:rPr>
          <w:rFonts w:ascii="Times New Roman" w:eastAsia="Times New Roman" w:hAnsi="Times New Roman" w:cs="Times New Roman"/>
          <w:sz w:val="20"/>
          <w:szCs w:val="20"/>
          <w:lang w:val="en-US" w:eastAsia="en-US"/>
        </w:rPr>
        <w:t xml:space="preserve">With 250 ethnic groups, Cameroon is one of the most ethnically diverse countries in Africa.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\l "_ftnref2" </w:instrText>
      </w:r>
      <w:r>
        <w:rPr>
          <w:rFonts w:ascii="Times New Roman" w:eastAsia="Times New Roman" w:hAnsi="Times New Roman" w:cs="Times New Roman"/>
          <w:sz w:val="24"/>
          <w:szCs w:val="24"/>
        </w:rPr>
        <w:fldChar w:fldCharType="separate"/>
      </w:r>
      <w:bookmarkStart w:id="10" w:name="_ftn2"/>
      <w:r>
        <w:rPr>
          <w:rFonts w:ascii="Calibri" w:eastAsia="Calibri" w:hAnsi="Calibri" w:cs="Calibri"/>
          <w:color w:val="0000EE"/>
          <w:sz w:val="20"/>
          <w:szCs w:val="20"/>
          <w:u w:val="single" w:color="0000EE"/>
          <w:lang w:val="en-US" w:eastAsia="en-US"/>
        </w:rPr>
        <w:t>[2]</w:t>
      </w:r>
      <w:r>
        <w:rPr>
          <w:rFonts w:ascii="Calibri" w:eastAsia="Calibri" w:hAnsi="Calibri" w:cs="Calibri"/>
          <w:color w:val="0000EE"/>
          <w:sz w:val="20"/>
          <w:szCs w:val="20"/>
          <w:u w:val="single" w:color="0000EE"/>
          <w:lang w:val="en-US" w:eastAsia="en-US"/>
        </w:rPr>
        <w:fldChar w:fldCharType="end"/>
      </w:r>
      <w:bookmarkEnd w:id="10"/>
      <w:r>
        <w:rPr>
          <w:rFonts w:ascii="Times New Roman" w:eastAsia="Times New Roman" w:hAnsi="Times New Roman" w:cs="Times New Roman"/>
          <w:sz w:val="24"/>
          <w:szCs w:val="24"/>
          <w:lang w:val="en-US" w:eastAsia="en-US"/>
        </w:rPr>
        <w:t xml:space="preserve"> RGPH: EDS: ESI:, ECAM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\l "_ftnref3" </w:instrText>
      </w:r>
      <w:r>
        <w:rPr>
          <w:rFonts w:ascii="Times New Roman" w:eastAsia="Times New Roman" w:hAnsi="Times New Roman" w:cs="Times New Roman"/>
          <w:sz w:val="24"/>
          <w:szCs w:val="24"/>
        </w:rPr>
        <w:fldChar w:fldCharType="separate"/>
      </w:r>
      <w:bookmarkStart w:id="11" w:name="_ftn3"/>
      <w:r>
        <w:rPr>
          <w:rFonts w:ascii="Calibri" w:eastAsia="Calibri" w:hAnsi="Calibri" w:cs="Calibri"/>
          <w:color w:val="0000EE"/>
          <w:sz w:val="17"/>
          <w:szCs w:val="17"/>
          <w:u w:val="single" w:color="0000EE"/>
          <w:lang w:val="en-US" w:eastAsia="en-US"/>
        </w:rPr>
        <w:t>[3]</w:t>
      </w:r>
      <w:r>
        <w:rPr>
          <w:rFonts w:ascii="Calibri" w:eastAsia="Calibri" w:hAnsi="Calibri" w:cs="Calibri"/>
          <w:color w:val="0000EE"/>
          <w:sz w:val="17"/>
          <w:szCs w:val="17"/>
          <w:u w:val="single" w:color="0000EE"/>
          <w:lang w:val="en-US" w:eastAsia="en-US"/>
        </w:rPr>
        <w:fldChar w:fldCharType="end"/>
      </w:r>
      <w:bookmarkEnd w:id="11"/>
      <w:r>
        <w:rPr>
          <w:rFonts w:ascii="Times New Roman" w:eastAsia="Times New Roman" w:hAnsi="Times New Roman" w:cs="Times New Roman"/>
          <w:sz w:val="17"/>
          <w:szCs w:val="17"/>
          <w:lang w:val="en-US" w:eastAsia="en-US"/>
        </w:rPr>
        <w:t xml:space="preserve"> Africa Women’s Report 2009-United Nations Commission for Africa. </w:t>
      </w:r>
      <w:r>
        <w:rPr>
          <w:rFonts w:ascii="Times New Roman" w:eastAsia="Times New Roman" w:hAnsi="Times New Roman" w:cs="Times New Roman"/>
          <w:sz w:val="17"/>
          <w:szCs w:val="17"/>
          <w:lang w:val="en-US" w:eastAsia="en-US"/>
        </w:rPr>
        <w:fldChar w:fldCharType="begin"/>
      </w:r>
      <w:r>
        <w:rPr>
          <w:rFonts w:ascii="Times New Roman" w:eastAsia="Times New Roman" w:hAnsi="Times New Roman" w:cs="Times New Roman"/>
          <w:sz w:val="17"/>
          <w:szCs w:val="17"/>
          <w:lang w:val="en-US" w:eastAsia="en-US"/>
        </w:rPr>
        <w:instrText xml:space="preserve"> HYPERLINK "http://www.uneca.org/sites/default/files/PublicationFiles/awr09_fin.pdf" </w:instrText>
      </w:r>
      <w:r>
        <w:rPr>
          <w:rFonts w:ascii="Times New Roman" w:eastAsia="Times New Roman" w:hAnsi="Times New Roman" w:cs="Times New Roman"/>
          <w:sz w:val="17"/>
          <w:szCs w:val="17"/>
          <w:lang w:val="en-US" w:eastAsia="en-US"/>
        </w:rPr>
        <w:fldChar w:fldCharType="separate"/>
      </w:r>
      <w:r>
        <w:rPr>
          <w:rFonts w:ascii="Times New Roman" w:eastAsia="Times New Roman" w:hAnsi="Times New Roman" w:cs="Times New Roman"/>
          <w:color w:val="0000EE"/>
          <w:sz w:val="17"/>
          <w:szCs w:val="17"/>
          <w:u w:val="single" w:color="0000EE"/>
          <w:lang w:val="en-US" w:eastAsia="en-US"/>
        </w:rPr>
        <w:t>www.</w:t>
      </w:r>
      <w:r>
        <w:rPr>
          <w:rFonts w:ascii="Times New Roman" w:eastAsia="Times New Roman" w:hAnsi="Times New Roman" w:cs="Times New Roman"/>
          <w:color w:val="0000EE"/>
          <w:sz w:val="17"/>
          <w:szCs w:val="17"/>
          <w:u w:val="single" w:color="0000EE"/>
          <w:lang w:val="en-US" w:eastAsia="en-US"/>
        </w:rPr>
        <w:t>uneca</w:t>
      </w:r>
      <w:r>
        <w:rPr>
          <w:rFonts w:ascii="Times New Roman" w:eastAsia="Times New Roman" w:hAnsi="Times New Roman" w:cs="Times New Roman"/>
          <w:color w:val="0000EE"/>
          <w:sz w:val="17"/>
          <w:szCs w:val="17"/>
          <w:u w:val="single" w:color="0000EE"/>
          <w:lang w:val="en-US" w:eastAsia="en-US"/>
        </w:rPr>
        <w:t>.</w:t>
      </w:r>
      <w:r>
        <w:rPr>
          <w:rFonts w:ascii="Times New Roman" w:eastAsia="Times New Roman" w:hAnsi="Times New Roman" w:cs="Times New Roman"/>
          <w:color w:val="0000EE"/>
          <w:sz w:val="17"/>
          <w:szCs w:val="17"/>
          <w:u w:val="single" w:color="0000EE"/>
          <w:lang w:val="en-US" w:eastAsia="en-US"/>
        </w:rPr>
        <w:t>org</w:t>
      </w:r>
      <w:r>
        <w:rPr>
          <w:rFonts w:ascii="Times New Roman" w:eastAsia="Times New Roman" w:hAnsi="Times New Roman" w:cs="Times New Roman"/>
          <w:color w:val="0000EE"/>
          <w:sz w:val="17"/>
          <w:szCs w:val="17"/>
          <w:u w:val="single" w:color="0000EE"/>
          <w:lang w:val="en-US" w:eastAsia="en-US"/>
        </w:rPr>
        <w:t>/sites/default/files/</w:t>
      </w:r>
      <w:r>
        <w:rPr>
          <w:rFonts w:ascii="Times New Roman" w:eastAsia="Times New Roman" w:hAnsi="Times New Roman" w:cs="Times New Roman"/>
          <w:color w:val="0000EE"/>
          <w:sz w:val="17"/>
          <w:szCs w:val="17"/>
          <w:u w:val="single" w:color="0000EE"/>
          <w:lang w:val="en-US" w:eastAsia="en-US"/>
        </w:rPr>
        <w:t>Publication</w:t>
      </w:r>
      <w:r>
        <w:rPr>
          <w:rFonts w:ascii="Times New Roman" w:eastAsia="Times New Roman" w:hAnsi="Times New Roman" w:cs="Times New Roman"/>
          <w:color w:val="0000EE"/>
          <w:sz w:val="17"/>
          <w:szCs w:val="17"/>
          <w:u w:val="single" w:color="0000EE"/>
          <w:lang w:val="en-US" w:eastAsia="en-US"/>
        </w:rPr>
        <w:t>Files/awr09_fin.pdf</w:t>
      </w:r>
      <w:r>
        <w:rPr>
          <w:rFonts w:ascii="Times New Roman" w:eastAsia="Times New Roman" w:hAnsi="Times New Roman" w:cs="Times New Roman"/>
          <w:color w:val="0000EE"/>
          <w:sz w:val="17"/>
          <w:szCs w:val="17"/>
          <w:u w:val="single" w:color="0000EE"/>
          <w:lang w:val="en-US" w:eastAsia="en-US"/>
        </w:rPr>
        <w:fldChar w:fldCharType="end"/>
      </w:r>
      <w:r>
        <w:rPr>
          <w:rFonts w:ascii="Times New Roman" w:eastAsia="Times New Roman" w:hAnsi="Times New Roman" w:cs="Times New Roman"/>
          <w:sz w:val="17"/>
          <w:szCs w:val="17"/>
          <w:shd w:val="clear" w:color="auto" w:fill="FFFFFF"/>
          <w:lang w:val="en-US" w:eastAsia="en-US"/>
        </w:rPr>
        <w:t xml:space="preserve"> accessed 18/01/2017. </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\l "_ftnref4" </w:instrText>
      </w:r>
      <w:r>
        <w:rPr>
          <w:rFonts w:ascii="Times New Roman" w:eastAsia="Times New Roman" w:hAnsi="Times New Roman" w:cs="Times New Roman"/>
          <w:sz w:val="24"/>
          <w:szCs w:val="24"/>
        </w:rPr>
        <w:fldChar w:fldCharType="separate"/>
      </w:r>
      <w:bookmarkStart w:id="12" w:name="_ftn4"/>
      <w:r>
        <w:rPr>
          <w:rFonts w:ascii="Calibri" w:eastAsia="Calibri" w:hAnsi="Calibri" w:cs="Calibri"/>
          <w:color w:val="0000EE"/>
          <w:sz w:val="20"/>
          <w:szCs w:val="20"/>
          <w:u w:val="single" w:color="0000EE"/>
          <w:lang w:val="en-US" w:eastAsia="en-US"/>
        </w:rPr>
        <w:t>[4]</w:t>
      </w:r>
      <w:r>
        <w:rPr>
          <w:rFonts w:ascii="Calibri" w:eastAsia="Calibri" w:hAnsi="Calibri" w:cs="Calibri"/>
          <w:color w:val="0000EE"/>
          <w:sz w:val="20"/>
          <w:szCs w:val="20"/>
          <w:u w:val="single" w:color="0000EE"/>
          <w:lang w:val="en-US" w:eastAsia="en-US"/>
        </w:rPr>
        <w:fldChar w:fldCharType="end"/>
      </w:r>
      <w:bookmarkEnd w:id="12"/>
      <w:r>
        <w:rPr>
          <w:rFonts w:ascii="Times New Roman" w:eastAsia="Times New Roman" w:hAnsi="Times New Roman" w:cs="Times New Roman"/>
          <w:sz w:val="24"/>
          <w:szCs w:val="24"/>
          <w:lang w:val="en-US" w:eastAsia="en-US"/>
        </w:rPr>
        <w:t xml:space="preserve"> </w:t>
      </w:r>
      <w:r>
        <w:rPr>
          <w:rFonts w:ascii="Times New Roman" w:eastAsia="Times New Roman" w:hAnsi="Times New Roman" w:cs="Times New Roman"/>
          <w:sz w:val="17"/>
          <w:szCs w:val="17"/>
          <w:lang w:val="en-US" w:eastAsia="en-US"/>
        </w:rPr>
        <w:t>CEDAW 2012. Consideration of reports submitted by States parties under article 18 of the Convention on the Elimination of All Forms of Discrimination against Women, Combined fourth and fifth periodic reports of States parties, Cameroon, CEDAW/C/Cameroon/4-5, CEDAW New York.</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\l "_ftnref5" </w:instrText>
      </w:r>
      <w:r>
        <w:rPr>
          <w:rFonts w:ascii="Times New Roman" w:eastAsia="Times New Roman" w:hAnsi="Times New Roman" w:cs="Times New Roman"/>
          <w:sz w:val="24"/>
          <w:szCs w:val="24"/>
        </w:rPr>
        <w:fldChar w:fldCharType="separate"/>
      </w:r>
      <w:bookmarkStart w:id="13" w:name="_ftn5"/>
      <w:r>
        <w:rPr>
          <w:rFonts w:ascii="Calibri" w:eastAsia="Calibri" w:hAnsi="Calibri" w:cs="Calibri"/>
          <w:color w:val="0000EE"/>
          <w:sz w:val="17"/>
          <w:szCs w:val="17"/>
          <w:u w:val="single" w:color="0000EE"/>
          <w:lang w:val="en-US" w:eastAsia="en-US"/>
        </w:rPr>
        <w:t>[5]</w:t>
      </w:r>
      <w:r>
        <w:rPr>
          <w:rFonts w:ascii="Calibri" w:eastAsia="Calibri" w:hAnsi="Calibri" w:cs="Calibri"/>
          <w:color w:val="0000EE"/>
          <w:sz w:val="17"/>
          <w:szCs w:val="17"/>
          <w:u w:val="single" w:color="0000EE"/>
          <w:lang w:val="en-US" w:eastAsia="en-US"/>
        </w:rPr>
        <w:fldChar w:fldCharType="end"/>
      </w:r>
      <w:bookmarkEnd w:id="13"/>
      <w:r>
        <w:rPr>
          <w:rFonts w:ascii="Times New Roman" w:eastAsia="Times New Roman" w:hAnsi="Times New Roman" w:cs="Times New Roman"/>
          <w:sz w:val="17"/>
          <w:szCs w:val="17"/>
          <w:lang w:val="en-US" w:eastAsia="en-US"/>
        </w:rPr>
        <w:t xml:space="preserve"> </w:t>
      </w:r>
      <w:r>
        <w:rPr>
          <w:rFonts w:ascii="Times New Roman" w:eastAsia="Times New Roman" w:hAnsi="Times New Roman" w:cs="Times New Roman"/>
          <w:sz w:val="17"/>
          <w:szCs w:val="17"/>
          <w:lang w:val="en-US" w:eastAsia="en-US"/>
        </w:rPr>
        <w:t xml:space="preserve">World Bank, 2013. Global Financial Inclusion Database, </w:t>
      </w:r>
      <w:r>
        <w:rPr>
          <w:rFonts w:ascii="Times New Roman" w:eastAsia="Times New Roman" w:hAnsi="Times New Roman" w:cs="Times New Roman"/>
          <w:sz w:val="17"/>
          <w:szCs w:val="17"/>
          <w:lang w:val="en-US" w:eastAsia="en-US"/>
        </w:rPr>
        <w:fldChar w:fldCharType="begin"/>
      </w:r>
      <w:r>
        <w:rPr>
          <w:rFonts w:ascii="Times New Roman" w:eastAsia="Times New Roman" w:hAnsi="Times New Roman" w:cs="Times New Roman"/>
          <w:sz w:val="17"/>
          <w:szCs w:val="17"/>
          <w:lang w:val="en-US" w:eastAsia="en-US"/>
        </w:rPr>
        <w:instrText xml:space="preserve"> HYPERLINK "http://databank.worldbank.org/Data/Views/reports/tableview.aspx" </w:instrText>
      </w:r>
      <w:r>
        <w:rPr>
          <w:rFonts w:ascii="Times New Roman" w:eastAsia="Times New Roman" w:hAnsi="Times New Roman" w:cs="Times New Roman"/>
          <w:sz w:val="17"/>
          <w:szCs w:val="17"/>
          <w:lang w:val="en-US" w:eastAsia="en-US"/>
        </w:rPr>
        <w:fldChar w:fldCharType="separate"/>
      </w:r>
      <w:r>
        <w:rPr>
          <w:rFonts w:ascii="Times New Roman" w:eastAsia="Times New Roman" w:hAnsi="Times New Roman" w:cs="Times New Roman"/>
          <w:color w:val="0000EE"/>
          <w:sz w:val="17"/>
          <w:szCs w:val="17"/>
          <w:u w:val="single" w:color="0000EE"/>
          <w:lang w:val="en-US" w:eastAsia="en-US"/>
        </w:rPr>
        <w:t>http://databank.worldbank.org/Data/Views/reports/tableview.aspx</w:t>
      </w:r>
      <w:r>
        <w:rPr>
          <w:rFonts w:ascii="Times New Roman" w:eastAsia="Times New Roman" w:hAnsi="Times New Roman" w:cs="Times New Roman"/>
          <w:color w:val="0000EE"/>
          <w:sz w:val="17"/>
          <w:szCs w:val="17"/>
          <w:u w:val="single" w:color="0000EE"/>
          <w:lang w:val="en-US" w:eastAsia="en-US"/>
        </w:rPr>
        <w:fldChar w:fldCharType="end"/>
      </w:r>
      <w:r>
        <w:rPr>
          <w:rFonts w:ascii="Times New Roman" w:eastAsia="Times New Roman" w:hAnsi="Times New Roman" w:cs="Times New Roman"/>
          <w:sz w:val="17"/>
          <w:szCs w:val="17"/>
          <w:lang w:val="en-US" w:eastAsia="en-US"/>
        </w:rPr>
        <w:t xml:space="preserve">  </w:t>
      </w:r>
      <w:r>
        <w:rPr>
          <w:rFonts w:ascii="Times New Roman" w:eastAsia="Times New Roman" w:hAnsi="Times New Roman" w:cs="Times New Roman"/>
          <w:sz w:val="17"/>
          <w:szCs w:val="17"/>
          <w:lang w:val="en-US" w:eastAsia="en-US"/>
        </w:rPr>
        <w:t>(accessed 18/01/2017).</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\l "_ftnref6" </w:instrText>
      </w:r>
      <w:r>
        <w:rPr>
          <w:rFonts w:ascii="Times New Roman" w:eastAsia="Times New Roman" w:hAnsi="Times New Roman" w:cs="Times New Roman"/>
          <w:sz w:val="24"/>
          <w:szCs w:val="24"/>
        </w:rPr>
        <w:fldChar w:fldCharType="separate"/>
      </w:r>
      <w:bookmarkStart w:id="14" w:name="_ftn6"/>
      <w:r>
        <w:rPr>
          <w:rFonts w:ascii="Calibri" w:eastAsia="Calibri" w:hAnsi="Calibri" w:cs="Calibri"/>
          <w:color w:val="0000EE"/>
          <w:sz w:val="17"/>
          <w:szCs w:val="17"/>
          <w:u w:val="single" w:color="0000EE"/>
          <w:lang w:val="en-US" w:eastAsia="en-US"/>
        </w:rPr>
        <w:t>[6]</w:t>
      </w:r>
      <w:r>
        <w:rPr>
          <w:rFonts w:ascii="Calibri" w:eastAsia="Calibri" w:hAnsi="Calibri" w:cs="Calibri"/>
          <w:color w:val="0000EE"/>
          <w:sz w:val="17"/>
          <w:szCs w:val="17"/>
          <w:u w:val="single" w:color="0000EE"/>
          <w:lang w:val="en-US" w:eastAsia="en-US"/>
        </w:rPr>
        <w:fldChar w:fldCharType="end"/>
      </w:r>
      <w:bookmarkEnd w:id="14"/>
      <w:r>
        <w:rPr>
          <w:rFonts w:ascii="Times New Roman" w:eastAsia="Times New Roman" w:hAnsi="Times New Roman" w:cs="Times New Roman"/>
          <w:sz w:val="17"/>
          <w:szCs w:val="17"/>
          <w:lang w:val="en-US" w:eastAsia="en-US"/>
        </w:rPr>
        <w:t xml:space="preserve"> Cameroon: Poverty Reduction Strategy Paper. August 2010, IMF Country Report No. 10/257.</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\l "_ftnref7" </w:instrText>
      </w:r>
      <w:r>
        <w:rPr>
          <w:rFonts w:ascii="Times New Roman" w:eastAsia="Times New Roman" w:hAnsi="Times New Roman" w:cs="Times New Roman"/>
          <w:sz w:val="24"/>
          <w:szCs w:val="24"/>
        </w:rPr>
        <w:fldChar w:fldCharType="separate"/>
      </w:r>
      <w:bookmarkStart w:id="15" w:name="_ftn7"/>
      <w:r>
        <w:rPr>
          <w:rFonts w:ascii="Calibri" w:eastAsia="Calibri" w:hAnsi="Calibri" w:cs="Calibri"/>
          <w:color w:val="0000EE"/>
          <w:sz w:val="19"/>
          <w:szCs w:val="19"/>
          <w:u w:val="single" w:color="0000EE"/>
          <w:lang w:val="en-US" w:eastAsia="en-US"/>
        </w:rPr>
        <w:t>[7]</w:t>
      </w:r>
      <w:r>
        <w:rPr>
          <w:rFonts w:ascii="Calibri" w:eastAsia="Calibri" w:hAnsi="Calibri" w:cs="Calibri"/>
          <w:color w:val="0000EE"/>
          <w:sz w:val="19"/>
          <w:szCs w:val="19"/>
          <w:u w:val="single" w:color="0000EE"/>
          <w:lang w:val="en-US" w:eastAsia="en-US"/>
        </w:rPr>
        <w:fldChar w:fldCharType="end"/>
      </w:r>
      <w:bookmarkEnd w:id="15"/>
      <w:r>
        <w:rPr>
          <w:rFonts w:ascii="Times New Roman" w:eastAsia="Times New Roman" w:hAnsi="Times New Roman" w:cs="Times New Roman"/>
          <w:sz w:val="19"/>
          <w:szCs w:val="19"/>
          <w:lang w:val="en-US" w:eastAsia="en-US"/>
        </w:rPr>
        <w:t xml:space="preserve"> OECD, 2014. Social Institutions &amp; Gender Index. 2014 Synthesis Report.</w:t>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\l "_ftnref8" </w:instrText>
      </w:r>
      <w:r>
        <w:rPr>
          <w:rFonts w:ascii="Times New Roman" w:eastAsia="Times New Roman" w:hAnsi="Times New Roman" w:cs="Times New Roman"/>
          <w:sz w:val="24"/>
          <w:szCs w:val="24"/>
        </w:rPr>
        <w:fldChar w:fldCharType="separate"/>
      </w:r>
      <w:bookmarkStart w:id="16" w:name="_ftn8"/>
      <w:r>
        <w:rPr>
          <w:rFonts w:ascii="Calibri" w:eastAsia="Calibri" w:hAnsi="Calibri" w:cs="Calibri"/>
          <w:color w:val="0000EE"/>
          <w:sz w:val="17"/>
          <w:szCs w:val="17"/>
          <w:u w:val="single" w:color="0000EE"/>
          <w:lang w:val="en-US" w:eastAsia="en-US"/>
        </w:rPr>
        <w:t>[8]</w:t>
      </w:r>
      <w:r>
        <w:rPr>
          <w:rFonts w:ascii="Calibri" w:eastAsia="Calibri" w:hAnsi="Calibri" w:cs="Calibri"/>
          <w:color w:val="0000EE"/>
          <w:sz w:val="17"/>
          <w:szCs w:val="17"/>
          <w:u w:val="single" w:color="0000EE"/>
          <w:lang w:val="en-US" w:eastAsia="en-US"/>
        </w:rPr>
        <w:fldChar w:fldCharType="end"/>
      </w:r>
      <w:bookmarkEnd w:id="16"/>
      <w:r>
        <w:rPr>
          <w:rFonts w:ascii="Times New Roman" w:eastAsia="Times New Roman" w:hAnsi="Times New Roman" w:cs="Times New Roman"/>
          <w:sz w:val="17"/>
          <w:szCs w:val="17"/>
          <w:lang w:val="en-US" w:eastAsia="en-US"/>
        </w:rPr>
        <w:t xml:space="preserve"> OECD, 2014. Social Institutions &amp; Gender Index. 2014 Synthesis Report.</w:t>
      </w:r>
    </w:p>
    <w:p>
      <w:pPr>
        <w:spacing w:before="240" w:after="24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\l "_ftnref9" </w:instrText>
      </w:r>
      <w:r>
        <w:rPr>
          <w:rFonts w:ascii="Times New Roman" w:eastAsia="Times New Roman" w:hAnsi="Times New Roman" w:cs="Times New Roman"/>
          <w:sz w:val="24"/>
          <w:szCs w:val="24"/>
        </w:rPr>
        <w:fldChar w:fldCharType="separate"/>
      </w:r>
      <w:bookmarkStart w:id="17" w:name="_ftn9"/>
      <w:r>
        <w:rPr>
          <w:rFonts w:ascii="Arial" w:eastAsia="Arial" w:hAnsi="Arial" w:cs="Arial"/>
          <w:color w:val="0000EE"/>
          <w:sz w:val="17"/>
          <w:szCs w:val="17"/>
          <w:u w:val="single" w:color="0000EE"/>
          <w:lang w:val="en-GB" w:eastAsia="en-GB"/>
        </w:rPr>
        <w:t>[9]</w:t>
      </w:r>
      <w:r>
        <w:rPr>
          <w:rFonts w:ascii="Arial" w:eastAsia="Arial" w:hAnsi="Arial" w:cs="Arial"/>
          <w:color w:val="0000EE"/>
          <w:sz w:val="17"/>
          <w:szCs w:val="17"/>
          <w:u w:val="single" w:color="0000EE"/>
          <w:lang w:val="en-GB" w:eastAsia="en-GB"/>
        </w:rPr>
        <w:fldChar w:fldCharType="end"/>
      </w:r>
      <w:bookmarkEnd w:id="17"/>
      <w:r>
        <w:rPr>
          <w:rFonts w:ascii="Times New Roman" w:eastAsia="Times New Roman" w:hAnsi="Times New Roman" w:cs="Times New Roman"/>
          <w:sz w:val="17"/>
          <w:szCs w:val="17"/>
          <w:lang w:val="en-GB" w:eastAsia="en-GB"/>
        </w:rPr>
        <w:t xml:space="preserve"> </w:t>
      </w:r>
      <w:r>
        <w:rPr>
          <w:rFonts w:ascii="Times New Roman" w:eastAsia="Times New Roman" w:hAnsi="Times New Roman" w:cs="Times New Roman"/>
          <w:sz w:val="17"/>
          <w:szCs w:val="17"/>
          <w:lang w:val="en-GB" w:eastAsia="en-GB"/>
        </w:rPr>
        <w:t xml:space="preserve">For example, the Penal Code allows a perpetrator of rape to be exempt from punishment, in the event he marries the victim.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2. Lessons learned: :</w:t>
      </w:r>
    </w:p>
    <w:p>
      <w:pPr>
        <w:numPr>
          <w:ilvl w:val="0"/>
          <w:numId w:val="1"/>
        </w:numPr>
        <w:spacing w:before="0" w:after="0" w:line="240" w:lineRule="auto"/>
        <w:ind w:left="720" w:right="0" w:hanging="240"/>
        <w:jc w:val="left"/>
        <w:rPr>
          <w:rFonts w:ascii="Times New Roman" w:eastAsia="Times New Roman" w:hAnsi="Times New Roman" w:cs="Times New Roman"/>
          <w:sz w:val="24"/>
          <w:szCs w:val="24"/>
        </w:rPr>
      </w:pPr>
    </w:p>
    <w:p>
      <w:pPr>
        <w:spacing w:before="120" w:after="120" w:line="240" w:lineRule="auto"/>
        <w:ind w:left="0" w:right="0"/>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 xml:space="preserve">Based on the conclusions and recommendations of the Country Portfolio External (CPE) evaluation of the 2014-2017 strategic note, </w:t>
      </w:r>
      <w:r>
        <w:rPr>
          <w:rFonts w:ascii="Calibri Light" w:eastAsia="Calibri Light" w:hAnsi="Calibri Light" w:cs="Calibri Light"/>
          <w:sz w:val="24"/>
          <w:szCs w:val="24"/>
          <w:lang w:val="en-US" w:eastAsia="en-US"/>
        </w:rPr>
        <w:t>UN Women is seen by donors as the only organization that works on GEWE as its most important priority, without it being crowded out by other priorities. The CPE evaluation report indicates several lessons which will inform the 2018-2020 strategic note.</w:t>
      </w:r>
    </w:p>
    <w:p>
      <w:pPr>
        <w:spacing w:before="120" w:after="120" w:line="240" w:lineRule="auto"/>
        <w:ind w:left="0" w:right="0"/>
        <w:jc w:val="both"/>
        <w:rPr>
          <w:rFonts w:ascii="Times New Roman" w:eastAsia="Times New Roman" w:hAnsi="Times New Roman" w:cs="Times New Roman"/>
          <w:sz w:val="24"/>
          <w:szCs w:val="24"/>
        </w:rPr>
      </w:pPr>
      <w:r>
        <w:rPr>
          <w:rFonts w:ascii="Calibri Light" w:eastAsia="Calibri Light" w:hAnsi="Calibri Light" w:cs="Calibri Light"/>
          <w:i/>
          <w:iCs/>
          <w:sz w:val="24"/>
          <w:szCs w:val="24"/>
          <w:lang w:val="en-US" w:eastAsia="en-US"/>
        </w:rPr>
        <w:t>In addressing women and girls’ needs in humanitarian setting</w:t>
      </w:r>
      <w:r>
        <w:rPr>
          <w:rFonts w:ascii="Calibri Light" w:eastAsia="Calibri Light" w:hAnsi="Calibri Light" w:cs="Calibri Light"/>
          <w:sz w:val="24"/>
          <w:szCs w:val="24"/>
          <w:lang w:val="en-US" w:eastAsia="en-US"/>
        </w:rPr>
        <w:t>, the holistic approach to EVAWG, which includes protection, prevention, access to services, and access to justice as well as reintegration of VAW survivors made through the establishment of “</w:t>
      </w:r>
      <w:r>
        <w:rPr>
          <w:rFonts w:ascii="Calibri Light" w:eastAsia="Calibri Light" w:hAnsi="Calibri Light" w:cs="Calibri Light"/>
          <w:i/>
          <w:iCs/>
          <w:sz w:val="24"/>
          <w:szCs w:val="24"/>
          <w:lang w:val="en-US" w:eastAsia="en-US"/>
        </w:rPr>
        <w:t>Espace de cohesion des femmes et des filles</w:t>
      </w:r>
      <w:r>
        <w:rPr>
          <w:rFonts w:ascii="Calibri Light" w:eastAsia="Calibri Light" w:hAnsi="Calibri Light" w:cs="Calibri Light"/>
          <w:sz w:val="24"/>
          <w:szCs w:val="24"/>
          <w:lang w:val="en-US" w:eastAsia="en-US"/>
        </w:rPr>
        <w:t>”</w:t>
      </w:r>
      <w:r>
        <w:rPr>
          <w:rFonts w:ascii="Calibri Light" w:eastAsia="Calibri Light" w:hAnsi="Calibri Light" w:cs="Calibri Light"/>
          <w:color w:val="0000EE"/>
          <w:u w:val="single" w:color="0000EE"/>
          <w:vertAlign w:val="superscript"/>
          <w:lang w:val="en-US" w:eastAsia="en-US"/>
        </w:rPr>
        <w:t>[1]</w:t>
      </w:r>
      <w:r>
        <w:rPr>
          <w:rStyle w:val="FootnoteReference"/>
        </w:rPr>
        <w:footnoteReference w:id="0"/>
      </w:r>
      <w:r>
        <w:rPr>
          <w:rFonts w:ascii="Calibri Light" w:eastAsia="Calibri Light" w:hAnsi="Calibri Light" w:cs="Calibri Light"/>
          <w:sz w:val="24"/>
          <w:szCs w:val="24"/>
          <w:lang w:val="en-US" w:eastAsia="en-US"/>
        </w:rPr>
        <w:t>,gender desks and call centers, have been used. These interventions have helped to reconstruct the lives of many women and their families. This experience will be scaled up in the new strategic note through the strengthening (institutional and organizational development) of the women cohesion spaces and their progressive transfer to the Government, thus creating a nexus between humanitarian and development. The Women cohesion space will be used as the main venue for all the activities in the LEAP programme to be implemented in the affected regions. Therefore, they will be opened to IDPs and host communities.</w:t>
      </w:r>
    </w:p>
    <w:p>
      <w:pPr>
        <w:spacing w:before="120" w:after="120" w:line="240" w:lineRule="auto"/>
        <w:ind w:left="0" w:right="0"/>
        <w:jc w:val="both"/>
        <w:rPr>
          <w:rFonts w:ascii="Times New Roman" w:eastAsia="Times New Roman" w:hAnsi="Times New Roman" w:cs="Times New Roman"/>
          <w:sz w:val="24"/>
          <w:szCs w:val="24"/>
        </w:rPr>
      </w:pPr>
      <w:r>
        <w:rPr>
          <w:rFonts w:ascii="Calibri Light" w:eastAsia="Calibri Light" w:hAnsi="Calibri Light" w:cs="Calibri Light"/>
          <w:color w:val="000000"/>
          <w:sz w:val="24"/>
          <w:szCs w:val="24"/>
          <w:lang w:val="en-US" w:eastAsia="en-US"/>
        </w:rPr>
        <w:t xml:space="preserve">Working on </w:t>
      </w:r>
      <w:r>
        <w:rPr>
          <w:rFonts w:ascii="Calibri Light" w:eastAsia="Calibri Light" w:hAnsi="Calibri Light" w:cs="Calibri Light"/>
          <w:i/>
          <w:iCs/>
          <w:color w:val="000000"/>
          <w:sz w:val="24"/>
          <w:szCs w:val="24"/>
          <w:lang w:val="en-US" w:eastAsia="en-US"/>
        </w:rPr>
        <w:t>Women Economic Empowerment</w:t>
      </w:r>
      <w:r>
        <w:rPr>
          <w:rFonts w:ascii="Calibri Light" w:eastAsia="Calibri Light" w:hAnsi="Calibri Light" w:cs="Calibri Light"/>
          <w:color w:val="000000"/>
          <w:sz w:val="24"/>
          <w:szCs w:val="24"/>
          <w:lang w:val="en-US" w:eastAsia="en-US"/>
        </w:rPr>
        <w:t xml:space="preserve"> through capacity building of partners and women, has enabled us to reach a small group of women only. </w:t>
      </w:r>
      <w:r>
        <w:rPr>
          <w:rFonts w:ascii="Calibri Light" w:eastAsia="Calibri Light" w:hAnsi="Calibri Light" w:cs="Calibri Light"/>
          <w:sz w:val="24"/>
          <w:szCs w:val="24"/>
          <w:lang w:val="en-US" w:eastAsia="en-US"/>
        </w:rPr>
        <w:t>Though the scale of the interventions has been low and localized, the combined actions on financing (startup fund), the structuring of the groups (cooperative development), the development of business plan and access to market, will be used to develop the main pillars of the interventions under the country flagship initiative in climate resilience agriculture.</w:t>
      </w:r>
    </w:p>
    <w:p>
      <w:pPr>
        <w:spacing w:before="120" w:after="120" w:line="240" w:lineRule="auto"/>
        <w:ind w:left="0" w:right="0"/>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In terms of </w:t>
      </w:r>
      <w:r>
        <w:rPr>
          <w:rFonts w:ascii="Calibri Light" w:eastAsia="Calibri Light" w:hAnsi="Calibri Light" w:cs="Calibri Light"/>
          <w:i/>
          <w:iCs/>
          <w:sz w:val="24"/>
          <w:szCs w:val="24"/>
          <w:lang w:val="en-US" w:eastAsia="en-US"/>
        </w:rPr>
        <w:t>operational strategies and campaigns</w:t>
      </w:r>
      <w:r>
        <w:rPr>
          <w:rFonts w:ascii="Calibri Light" w:eastAsia="Calibri Light" w:hAnsi="Calibri Light" w:cs="Calibri Light"/>
          <w:sz w:val="24"/>
          <w:szCs w:val="24"/>
          <w:lang w:val="en-US" w:eastAsia="en-US"/>
        </w:rPr>
        <w:t>, the participative and inclusive approach used has shown proof of the ability to mobilize the masses, especially during the different campaigns against Gender Based Violence. The Heforshe campaign has been very effective in conveying critical gender equality massages through the strategic use of male champions. The Involvement of youth in efforts to improve GEWE are commendable; Young people are flexible and able to use modern methods of communication. The involvement of men and community leaders has proven to be an effective approach towards protecting women and girls from GBV in humanitarian context, and lends credibility to UN Women interventions. The new strategic note will be built on these effective strategies (youth and male involvement, massive campaigns including the heforshe) to build ownership and sustainability in changing gender norms especially in fighting violence against women and girls and in HIV/AIDS. This strategy will be used to reduce barriers preventing women and girls access to services in reproductive and maternal health.</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 xml:space="preserve">With regards to </w:t>
      </w:r>
      <w:r>
        <w:rPr>
          <w:rFonts w:ascii="Calibri Light" w:eastAsia="Calibri Light" w:hAnsi="Calibri Light" w:cs="Calibri Light"/>
          <w:i/>
          <w:iCs/>
          <w:lang w:val="en-GB" w:eastAsia="en-GB"/>
        </w:rPr>
        <w:t>coordination and partnership</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coordination and cooperation within the UN Family is very good in Cameroon.</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Over the years, the position of UN Women in the UNCT and HCT has reportedly become stronger and more visible.</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UN Women has played a strong role in the development of the new UNDAF (2018-2020). UN Women co-led the Programme Management Group (together with UNFPA) to ensure effective gender mainstreaming in the whole process. Thus, several gender related issues were highlighted as important for the UNCT and the UNDAF in the situation analysis of UNDAF 2016-2020</w:t>
      </w:r>
      <w:r>
        <w:rPr>
          <w:rFonts w:ascii="Calibri Light" w:eastAsia="Calibri Light" w:hAnsi="Calibri Light" w:cs="Calibri Light"/>
          <w:color w:val="0000EE"/>
          <w:u w:val="single" w:color="0000EE"/>
          <w:vertAlign w:val="superscript"/>
          <w:lang w:val="en-GB" w:eastAsia="en-GB"/>
        </w:rPr>
        <w:t>[2]</w:t>
      </w:r>
      <w:r>
        <w:rPr>
          <w:rStyle w:val="FootnoteReference"/>
        </w:rPr>
        <w:footnoteReference w:id="1"/>
      </w:r>
      <w:r>
        <w:rPr>
          <w:rFonts w:ascii="Calibri Light" w:eastAsia="Calibri Light" w:hAnsi="Calibri Light" w:cs="Calibri Light"/>
          <w:lang w:val="en-GB" w:eastAsia="en-GB"/>
        </w:rPr>
        <w:t>. This strategic positioning will be strengthened and maintained by creating coherent substantive alignment between the strategic note and the UNDAF, and the country office will continue to play its leadership role in both the PMT, result groups, and as a co-lead of pillar one of the UNDAF.</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In support to the Government and other development actors, UNWOMEN has engaged a full process of gender mainstreaming in planning and budget processes at national and local levels through the definition of a national gender responsive planning and budgeting policy/guidelines</w:t>
      </w:r>
      <w:r>
        <w:rPr>
          <w:rFonts w:ascii="Calibri Light" w:eastAsia="Calibri Light" w:hAnsi="Calibri Light" w:cs="Calibri Light"/>
          <w:color w:val="C00000"/>
          <w:lang w:val="en-GB" w:eastAsia="en-GB"/>
        </w:rPr>
        <w:t>,</w:t>
      </w:r>
      <w:r>
        <w:rPr>
          <w:rFonts w:ascii="Calibri Light" w:eastAsia="Calibri Light" w:hAnsi="Calibri Light" w:cs="Calibri Light"/>
          <w:lang w:val="en-GB" w:eastAsia="en-GB"/>
        </w:rPr>
        <w:t xml:space="preserve"> and capacity building of key actors. The country office will continue to lead the </w:t>
      </w:r>
      <w:r>
        <w:rPr>
          <w:rFonts w:ascii="Calibri Light" w:eastAsia="Calibri Light" w:hAnsi="Calibri Light" w:cs="Calibri Light"/>
          <w:lang w:val="en-US" w:eastAsia="en-US"/>
        </w:rPr>
        <w:t xml:space="preserve">UN Gender Theme Group (GTG). </w:t>
      </w:r>
    </w:p>
    <w:p>
      <w:pPr>
        <w:spacing w:before="120" w:after="120" w:line="240" w:lineRule="auto"/>
        <w:ind w:left="0" w:right="0"/>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The strong partnership with MINPROFF has advanced the strategic plan to support sustainability of humanitarian achievements, and the promotion and protection of women’s rights in Cameroon.</w:t>
      </w:r>
      <w:r>
        <w:rPr>
          <w:rFonts w:ascii="Calibri Light" w:eastAsia="Calibri Light" w:hAnsi="Calibri Light" w:cs="Calibri Light"/>
          <w:sz w:val="24"/>
          <w:szCs w:val="24"/>
          <w:lang w:val="en-US" w:eastAsia="en-US"/>
        </w:rPr>
        <w:t xml:space="preserve">  </w:t>
      </w:r>
      <w:r>
        <w:rPr>
          <w:rFonts w:ascii="Calibri Light" w:eastAsia="Calibri Light" w:hAnsi="Calibri Light" w:cs="Calibri Light"/>
          <w:sz w:val="24"/>
          <w:szCs w:val="24"/>
          <w:lang w:val="en-US" w:eastAsia="en-US"/>
        </w:rPr>
        <w:t xml:space="preserve">Partnership between UN Women and national institutions such as ELECAM and the National Commission for Human Rights, the Direction General of National Security (DGSN) and key ministries, is an invaluable asset towards real and meaningful change when working on sensitive issues like elections and protection of women and girls against gender based violence. As the evaluation report reveals, there is a need to broaden and diversify partnership with other Government institutions. This will be highlighted in the current strategic note through the formal establishment of partnership with key Government institutions and programmes that are relevant to the thematic area under consideration. </w:t>
      </w:r>
    </w:p>
    <w:p>
      <w:pPr>
        <w:spacing w:before="0" w:after="165" w:line="240" w:lineRule="auto"/>
        <w:ind w:left="0" w:right="0"/>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With regards to </w:t>
      </w:r>
      <w:r>
        <w:rPr>
          <w:rFonts w:ascii="Calibri Light" w:eastAsia="Calibri Light" w:hAnsi="Calibri Light" w:cs="Calibri Light"/>
          <w:i/>
          <w:iCs/>
          <w:sz w:val="24"/>
          <w:szCs w:val="24"/>
          <w:lang w:val="en-US" w:eastAsia="en-US"/>
        </w:rPr>
        <w:t>resource mobilization</w:t>
      </w:r>
      <w:r>
        <w:rPr>
          <w:rFonts w:ascii="Calibri Light" w:eastAsia="Calibri Light" w:hAnsi="Calibri Light" w:cs="Calibri Light"/>
          <w:sz w:val="24"/>
          <w:szCs w:val="24"/>
          <w:lang w:val="en-US" w:eastAsia="en-US"/>
        </w:rPr>
        <w:t>, the country office has succeeded in obtaining funds from the government in the form of technical assistance. This demonstrates Government’s appreciation of the technical know-how of the country office. The country office will continue to develop its capacity as a knowledge organization in GEWE in support of the Government and major programmes in the country. Despite the challenges of technical assistance, it appears to be a major niche in a low middle-income country where development is loan- based.</w:t>
      </w:r>
    </w:p>
    <w:p>
      <w:pPr>
        <w:spacing w:before="0" w:after="165" w:line="240" w:lineRule="auto"/>
        <w:ind w:left="0" w:right="0"/>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For </w:t>
      </w:r>
      <w:r>
        <w:rPr>
          <w:rFonts w:ascii="Calibri Light" w:eastAsia="Calibri Light" w:hAnsi="Calibri Light" w:cs="Calibri Light"/>
          <w:i/>
          <w:iCs/>
          <w:sz w:val="24"/>
          <w:szCs w:val="24"/>
          <w:lang w:val="en-US" w:eastAsia="en-US"/>
        </w:rPr>
        <w:t>communication and knowledge sharing</w:t>
      </w:r>
      <w:r>
        <w:rPr>
          <w:rFonts w:ascii="Calibri Light" w:eastAsia="Calibri Light" w:hAnsi="Calibri Light" w:cs="Calibri Light"/>
          <w:sz w:val="24"/>
          <w:szCs w:val="24"/>
          <w:lang w:val="en-US" w:eastAsia="en-US"/>
        </w:rPr>
        <w:t>, the establishment of a gender knowledge center for the generation and dissemination of knowledge products, is perceived by universities and development practitioners as a very good practice which needs to be strengthened and scaled up through outreach activities. The current strategic note will lay more emphasis on outreach strategies mainly to the rural areas and other development programmes. The activities of the gender knowledge center will be synchronized with the programmes of other UN agencies and development partners. The gender cafés and the gender newsletter will be the main tools for knowledge dissemination</w:t>
      </w:r>
    </w:p>
    <w:p>
      <w:pPr>
        <w:spacing w:before="240" w:after="24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US" w:eastAsia="en-US"/>
        </w:rPr>
        <w:br w:type="page"/>
      </w:r>
      <w:r>
        <w:rPr>
          <w:rFonts w:ascii="Calibri Light" w:eastAsia="Calibri Light" w:hAnsi="Calibri Light" w:cs="Calibri Light"/>
          <w:sz w:val="24"/>
          <w:szCs w:val="24"/>
          <w:lang w:val="en-US" w:eastAsia="en-US"/>
        </w:rPr>
        <w:t> </w:t>
      </w:r>
    </w:p>
    <w:p>
      <w:pPr>
        <w:spacing w:after="0" w:line="240" w:lineRule="auto"/>
        <w:rPr>
          <w:rFonts w:ascii="Times New Roman" w:eastAsia="Times New Roman" w:hAnsi="Times New Roman" w:cs="Times New Roman"/>
          <w:sz w:val="24"/>
          <w:szCs w:val="24"/>
        </w:rPr>
      </w:pPr>
      <w:r>
        <w:rPr>
          <w:rFonts w:ascii="Calibri Light" w:eastAsia="Calibri Light" w:hAnsi="Calibri Light" w:cs="Calibri Light"/>
          <w:b/>
          <w:bCs/>
          <w:u w:val="single"/>
          <w:lang w:val="en-GB" w:eastAsia="en-GB"/>
        </w:rPr>
        <w:br w:type="page"/>
      </w:r>
      <w:r>
        <w:rPr>
          <w:rFonts w:ascii="Times New Roman" w:eastAsia="Times New Roman" w:hAnsi="Times New Roman" w:cs="Times New Roman"/>
          <w:sz w:val="2"/>
          <w:szCs w:val="2"/>
        </w:rPr>
        <w:br w:type="textWrapping" w:clear="all"/>
      </w:r>
    </w:p>
    <w:p>
      <w:pPr>
        <w:spacing w:before="0" w:after="0" w:line="24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"https://unwomen-my.sharepoint.com/personal/adama_moussa_unwomen_org/Documents/Mes%20documents/Dossier%20UNwomen/CAMEROUN/Planification/SN%202018-2020/CMR%20SN%20narrative%202018-2020%20version%20october%20%202017%2006%20.docx" \l "_ftnref1" </w:instrText>
      </w:r>
      <w:r>
        <w:rPr>
          <w:rFonts w:ascii="Times New Roman" w:eastAsia="Times New Roman" w:hAnsi="Times New Roman" w:cs="Times New Roman"/>
          <w:sz w:val="24"/>
          <w:szCs w:val="24"/>
        </w:rPr>
        <w:fldChar w:fldCharType="separate"/>
      </w:r>
      <w:r>
        <w:rPr>
          <w:rFonts w:ascii="Calibri" w:eastAsia="Calibri" w:hAnsi="Calibri" w:cs="Calibri"/>
          <w:color w:val="0000EE"/>
          <w:sz w:val="18"/>
          <w:szCs w:val="18"/>
          <w:u w:val="single" w:color="0000EE"/>
          <w:lang w:val="en-US" w:eastAsia="en-US"/>
        </w:rPr>
        <w:t>[1]</w:t>
      </w:r>
      <w:r>
        <w:rPr>
          <w:rFonts w:ascii="Calibri" w:eastAsia="Calibri" w:hAnsi="Calibri" w:cs="Calibri"/>
          <w:color w:val="0000EE"/>
          <w:sz w:val="18"/>
          <w:szCs w:val="18"/>
          <w:u w:val="single" w:color="0000EE"/>
          <w:lang w:val="en-US" w:eastAsia="en-US"/>
        </w:rPr>
        <w:fldChar w:fldCharType="end"/>
      </w:r>
      <w:r>
        <w:rPr>
          <w:rFonts w:ascii="Times New Roman" w:eastAsia="Times New Roman" w:hAnsi="Times New Roman" w:cs="Times New Roman"/>
          <w:sz w:val="18"/>
          <w:szCs w:val="18"/>
          <w:lang w:val="en-US" w:eastAsia="en-US"/>
        </w:rPr>
        <w:t xml:space="preserve"> </w:t>
      </w:r>
      <w:r>
        <w:rPr>
          <w:rFonts w:ascii="Calibri" w:eastAsia="Calibri" w:hAnsi="Calibri" w:cs="Calibri"/>
          <w:sz w:val="24"/>
          <w:szCs w:val="24"/>
          <w:lang w:val="en-US" w:eastAsia="en-US"/>
        </w:rPr>
        <w:t>Shelters for women and girls who are refugees and victims of VAW related to conflict. 4 have been established in the East, 2 in Adamaoua and 2 in the far North.</w:t>
      </w:r>
    </w:p>
    <w:p>
      <w:pPr>
        <w:spacing w:before="0" w:after="0" w:line="24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"https://unwomen-my.sharepoint.com/personal/adama_moussa_unwomen_org/Documents/Mes%20documents/Dossier%20UNwomen/CAMEROUN/Planification/SN%202018-2020/CMR%20SN%20narrative%202018-2020%20version%20october%20%202017%2006%20.docx" \l "_ftnref2" </w:instrText>
      </w:r>
      <w:r>
        <w:rPr>
          <w:rFonts w:ascii="Times New Roman" w:eastAsia="Times New Roman" w:hAnsi="Times New Roman" w:cs="Times New Roman"/>
          <w:sz w:val="24"/>
          <w:szCs w:val="24"/>
        </w:rPr>
        <w:fldChar w:fldCharType="separate"/>
      </w:r>
      <w:r>
        <w:rPr>
          <w:rFonts w:ascii="Calibri" w:eastAsia="Calibri" w:hAnsi="Calibri" w:cs="Calibri"/>
          <w:color w:val="0000EE"/>
          <w:sz w:val="18"/>
          <w:szCs w:val="18"/>
          <w:u w:val="single" w:color="0000EE"/>
          <w:lang w:val="en-US" w:eastAsia="en-US"/>
        </w:rPr>
        <w:t>[2]</w:t>
      </w:r>
      <w:r>
        <w:rPr>
          <w:rFonts w:ascii="Calibri" w:eastAsia="Calibri" w:hAnsi="Calibri" w:cs="Calibri"/>
          <w:color w:val="0000EE"/>
          <w:sz w:val="18"/>
          <w:szCs w:val="18"/>
          <w:u w:val="single" w:color="0000EE"/>
          <w:lang w:val="en-US" w:eastAsia="en-US"/>
        </w:rPr>
        <w:fldChar w:fldCharType="end"/>
      </w:r>
      <w:r>
        <w:rPr>
          <w:rFonts w:ascii="Times New Roman" w:eastAsia="Times New Roman" w:hAnsi="Times New Roman" w:cs="Times New Roman"/>
          <w:sz w:val="18"/>
          <w:szCs w:val="18"/>
          <w:lang w:val="en-US" w:eastAsia="en-US"/>
        </w:rPr>
        <w:t xml:space="preserve"> </w:t>
      </w:r>
      <w:r>
        <w:rPr>
          <w:rFonts w:ascii="Times New Roman" w:eastAsia="Times New Roman" w:hAnsi="Times New Roman" w:cs="Times New Roman"/>
          <w:sz w:val="18"/>
          <w:szCs w:val="18"/>
        </w:rPr>
        <w:t>Système des Nations Unies, Juin 2016. Analyse de la Situation des Piliers de l’UNDAF en Vue de la Détermination de ses Orientations Stratégiques.</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Title: Lessons learned.docx" style="width:40pt;height:40pt;margin-top:0;margin-left:0;mso-position-vertical:bottom;position:absolute;z-index:-251657216" o:oleicon="t">
            <v:imagedata r:id="rId8" o:title=""/>
          </v:shape>
          <o:OLEObject Type="Embed" ProgID="Package" ShapeID="_x0000_s1025" DrawAspect="Icon" ObjectID="_0" r:id="rId9"/>
        </w:pict>
      </w:r>
    </w:p>
    <w:p w:rsidR="00C07D60" w:rsidP="00527AD0">
      <w:pPr>
        <w:jc w:val="left"/>
        <w:rPr>
          <w:b/>
          <w:sz w:val="24"/>
          <w:u w:val="single"/>
        </w:rPr>
      </w:pPr>
    </w:p>
    <w:p w:rsidR="00C07D60" w:rsidP="00527AD0">
      <w:pPr>
        <w:jc w:val="left"/>
        <w:rPr>
          <w:b w:val="0"/>
          <w:sz w:val="24"/>
          <w:u w:val="none"/>
        </w:rPr>
      </w:pPr>
      <w:r>
        <w:rPr>
          <w:b w:val="0"/>
          <w:sz w:val="24"/>
          <w:u w:val="none"/>
        </w:rPr>
        <w:t>Lessons learned.docx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26" type="#_x0000_t75" alt="Title: UN Women CAM evaluation report.doc" style="width:40pt;height:40pt;margin-top:0;margin-left:0;mso-position-vertical:bottom;position:absolute;z-index:-251656192" o:oleicon="t">
            <v:imagedata r:id="rId8" o:title=""/>
          </v:shape>
          <o:OLEObject Type="Embed" ProgID="Package" ShapeID="_x0000_s1026" DrawAspect="Icon" ObjectID="_1" r:id="rId10"/>
        </w:pict>
      </w:r>
    </w:p>
    <w:p w:rsidR="00C07D60" w:rsidP="00527AD0">
      <w:pPr>
        <w:jc w:val="left"/>
        <w:rPr>
          <w:b/>
          <w:sz w:val="24"/>
          <w:u w:val="single"/>
        </w:rPr>
      </w:pPr>
    </w:p>
    <w:p w:rsidR="00C07D60" w:rsidP="00527AD0">
      <w:pPr>
        <w:jc w:val="left"/>
        <w:rPr>
          <w:b w:val="0"/>
          <w:sz w:val="24"/>
          <w:u w:val="none"/>
        </w:rPr>
      </w:pPr>
      <w:r>
        <w:rPr>
          <w:b w:val="0"/>
          <w:sz w:val="24"/>
          <w:u w:val="none"/>
        </w:rPr>
        <w:t>UN Women CAM evaluation report.doc</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3. Proposed Programme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The first thematic impact area is</w:t>
      </w:r>
      <w:r>
        <w:rPr>
          <w:rFonts w:ascii="Calibri Light" w:eastAsia="Calibri Light" w:hAnsi="Calibri Light" w:cs="Calibri Light"/>
          <w:b/>
          <w:bCs/>
          <w:sz w:val="24"/>
          <w:szCs w:val="24"/>
          <w:lang w:val="en-US" w:eastAsia="en-US"/>
        </w:rPr>
        <w:t xml:space="preserve"> </w:t>
      </w:r>
      <w:r>
        <w:rPr>
          <w:rFonts w:ascii="Calibri Light" w:eastAsia="Calibri Light" w:hAnsi="Calibri Light" w:cs="Calibri Light"/>
          <w:sz w:val="24"/>
          <w:szCs w:val="24"/>
          <w:u w:val="single"/>
          <w:lang w:val="en-US" w:eastAsia="en-US"/>
        </w:rPr>
        <w:t>“women will participate, lead and engage in political institutions and processes</w:t>
      </w:r>
      <w:r>
        <w:rPr>
          <w:rFonts w:ascii="Calibri Light" w:eastAsia="Calibri Light" w:hAnsi="Calibri Light" w:cs="Calibri Light"/>
          <w:sz w:val="24"/>
          <w:szCs w:val="24"/>
          <w:lang w:val="en-US" w:eastAsia="en-US"/>
        </w:rPr>
        <w:t>” will be covered by two outcomes with the underlying theory of change is that if (i) women fully participate in electoral decision making positions at national and local levels; if (ii) gender statistics is produced and used for policy dialogue, planning and monitoring of SDGs at national and local levels, if (iii) national plans and budgets are gender responsive then women will participate, lead and engage in political institutions and processes because the barriers underpinning gender responsive governance are identified, planned and budgeted for at national and local levels. this thematic impact will be at national level with a focus in three municipalities in the centres to create more synergy with the women economic empowerment component.</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b/>
          <w:bCs/>
          <w:i/>
          <w:iCs/>
          <w:sz w:val="24"/>
          <w:szCs w:val="24"/>
          <w:lang w:val="en-US" w:eastAsia="en-US"/>
        </w:rPr>
        <w:t xml:space="preserve">Outcome 1.1. women fully participate in electoral decision-making positions at national and local levels in Cameroon </w:t>
      </w:r>
    </w:p>
    <w:p>
      <w:pPr>
        <w:spacing w:before="240" w:after="240" w:line="254"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Programme will address the structural and socio-cultural challenges to women’s participation at all levels of decision-making. Based on the analysis of the context, the theory of change is that </w:t>
      </w:r>
      <w:r>
        <w:rPr>
          <w:rFonts w:ascii="Calibri Light" w:eastAsia="Calibri Light" w:hAnsi="Calibri Light" w:cs="Calibri Light"/>
          <w:sz w:val="24"/>
          <w:szCs w:val="24"/>
          <w:lang w:val="en-US" w:eastAsia="en-US"/>
        </w:rPr>
        <w:t xml:space="preserve">If (i) ELECAM and the main political parties are better able to implement effectively the 2012 electoral code; if (ii) women political leaders supported by UNWOMEN are better able to participate in political competitions at national and locale levels; if (iii) women are better perceived as equally legitimate political leaders as men in society, (iv) if women in decision making positions are better able to promote  gender sensitive political institutions, then women will fully participate in electoral decision making positions at national and local levels. </w:t>
      </w:r>
    </w:p>
    <w:p>
      <w:pPr>
        <w:spacing w:before="240" w:line="240" w:lineRule="auto"/>
        <w:ind w:left="60" w:right="0"/>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AU" w:eastAsia="en-AU"/>
        </w:rPr>
        <w:t xml:space="preserve">In this respect, the partnership established with ELECAM, </w:t>
      </w:r>
      <w:r>
        <w:rPr>
          <w:rFonts w:ascii="Calibri Light" w:eastAsia="Calibri Light" w:hAnsi="Calibri Light" w:cs="Calibri Light"/>
          <w:sz w:val="24"/>
          <w:szCs w:val="24"/>
          <w:lang w:val="en-US" w:eastAsia="en-US"/>
        </w:rPr>
        <w:t xml:space="preserve">political parties and women political aspirants and elected leaders, will be pursued. UN Women will </w:t>
      </w:r>
      <w:r>
        <w:rPr>
          <w:rFonts w:ascii="Calibri Light" w:eastAsia="Calibri Light" w:hAnsi="Calibri Light" w:cs="Calibri Light"/>
          <w:sz w:val="24"/>
          <w:szCs w:val="24"/>
          <w:lang w:val="en-GB" w:eastAsia="en-GB"/>
        </w:rPr>
        <w:t xml:space="preserve">work closely with </w:t>
      </w:r>
      <w:r>
        <w:rPr>
          <w:rFonts w:ascii="Calibri Light" w:eastAsia="Calibri Light" w:hAnsi="Calibri Light" w:cs="Calibri Light"/>
          <w:sz w:val="24"/>
          <w:szCs w:val="24"/>
          <w:lang w:val="en-US" w:eastAsia="en-US"/>
        </w:rPr>
        <w:t>ELECAM</w:t>
      </w:r>
      <w:r>
        <w:rPr>
          <w:rFonts w:ascii="Calibri Light" w:eastAsia="Calibri Light" w:hAnsi="Calibri Light" w:cs="Calibri Light"/>
          <w:sz w:val="24"/>
          <w:szCs w:val="24"/>
          <w:lang w:val="en-GB" w:eastAsia="en-GB"/>
        </w:rPr>
        <w:t xml:space="preserve">, the </w:t>
      </w:r>
      <w:r>
        <w:rPr>
          <w:rFonts w:ascii="Calibri Light" w:eastAsia="Calibri Light" w:hAnsi="Calibri Light" w:cs="Calibri Light"/>
          <w:sz w:val="24"/>
          <w:szCs w:val="24"/>
          <w:lang w:val="en-US" w:eastAsia="en-US"/>
        </w:rPr>
        <w:t>Ministry of Women’s Empowerment and the Family (MINPROFF)</w:t>
      </w:r>
      <w:r>
        <w:rPr>
          <w:rFonts w:ascii="Calibri Light" w:eastAsia="Calibri Light" w:hAnsi="Calibri Light" w:cs="Calibri Light"/>
          <w:sz w:val="24"/>
          <w:szCs w:val="24"/>
          <w:lang w:val="en-GB" w:eastAsia="en-GB"/>
        </w:rPr>
        <w:t>, CSOs, and women’s parliamentary caucuses, UNESCO and the office of human rights</w:t>
      </w:r>
      <w:r>
        <w:rPr>
          <w:rFonts w:ascii="Calibri Light" w:eastAsia="Calibri Light" w:hAnsi="Calibri Light" w:cs="Calibri Light"/>
          <w:sz w:val="24"/>
          <w:szCs w:val="24"/>
          <w:lang w:val="en-US" w:eastAsia="en-US"/>
        </w:rPr>
        <w:t>. The collaboration will be expanded to the parliament to advocate for the effective implementation of gender equality requirements in the 2012 Electoral Code (Art 151. Provision 3).</w:t>
      </w:r>
      <w:r>
        <w:rPr>
          <w:rFonts w:ascii="Calibri Light" w:eastAsia="Calibri Light" w:hAnsi="Calibri Light" w:cs="Calibri Light"/>
          <w:sz w:val="24"/>
          <w:szCs w:val="24"/>
          <w:lang w:val="en-US" w:eastAsia="en-US"/>
        </w:rPr>
        <w:t xml:space="preserve">  </w:t>
      </w:r>
      <w:r>
        <w:rPr>
          <w:rFonts w:ascii="Calibri Light" w:eastAsia="Calibri Light" w:hAnsi="Calibri Light" w:cs="Calibri Light"/>
          <w:sz w:val="24"/>
          <w:szCs w:val="24"/>
          <w:lang w:val="en-US" w:eastAsia="en-US"/>
        </w:rPr>
        <w:t>The proposed activities under this programme are aligned with the “Women and political participation” 2017-2020 strategic plan, which was developed by UNWOMEN and UNDP to support to ELECAM.</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b/>
          <w:bCs/>
          <w:i/>
          <w:iCs/>
          <w:sz w:val="24"/>
          <w:szCs w:val="24"/>
          <w:lang w:val="en-US" w:eastAsia="en-US"/>
        </w:rPr>
        <w:t xml:space="preserve">Outcome 1.2. gender statistics are better produced and used to plan and monitor SDGs at national and local levels. </w:t>
      </w:r>
    </w:p>
    <w:p>
      <w:pPr>
        <w:spacing w:before="240" w:after="240" w:line="254"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programme will address the challenges highlighted in the context analysis and the following theory of change is pursued </w:t>
      </w:r>
      <w:r>
        <w:rPr>
          <w:rFonts w:ascii="Calibri Light" w:eastAsia="Calibri Light" w:hAnsi="Calibri Light" w:cs="Calibri Light"/>
          <w:sz w:val="24"/>
          <w:szCs w:val="24"/>
          <w:lang w:val="en-US" w:eastAsia="en-US"/>
        </w:rPr>
        <w:t>if (i) the national institute of statistics is better able to apply gender mainstreaming principles into statistical processes ; (ii) if national and local authorities are better able to use gender statistics for planning and budgeting; if (iii) if HIV AIDS and MHM are better mainstreamed in national and local plans and budgets</w:t>
      </w:r>
      <w:r>
        <w:rPr>
          <w:rFonts w:ascii="Calibri Light" w:eastAsia="Calibri Light" w:hAnsi="Calibri Light" w:cs="Calibri Light"/>
          <w:color w:val="FF0000"/>
          <w:sz w:val="24"/>
          <w:szCs w:val="24"/>
          <w:lang w:val="en-US" w:eastAsia="en-US"/>
        </w:rPr>
        <w:t xml:space="preserve"> </w:t>
      </w:r>
      <w:r>
        <w:rPr>
          <w:rFonts w:ascii="Calibri Light" w:eastAsia="Calibri Light" w:hAnsi="Calibri Light" w:cs="Calibri Light"/>
          <w:sz w:val="24"/>
          <w:szCs w:val="24"/>
          <w:lang w:val="en-US" w:eastAsia="en-US"/>
        </w:rPr>
        <w:t>; if (iii) the parliament and civil society institutions are better able to use gender statistics to held the government and local authorities accountable for gender commitments; then (iv) quality gender statistics will be produced and used to plan and monitor SDGs at national and local levels</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In so doing the office will establish a formal partnership with the national institute of statistics (INS), the Ministry of Planning and Regional Development, the Ministry of Finance, the National Programme of Local Planning (PNDP), and the National Fund for the Development of Local Councils (FECOM) together with other organizations that are active in the domain like: UNFPA, world bank and key sector ministries. The ministry of Women Empowerment and the Family will be supported to establish a system of gender statistical information for the effective monitoring of the national gender policy and reporting. Local councils will also be supported to produce gender statistics and report. This support will involve the collection of data, analysis, the establishment of a national baseline at national level and in target communes, and the production of regular reports including the provision of adequate equipment and software.</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second thematic impact area is </w:t>
      </w:r>
      <w:r>
        <w:rPr>
          <w:rFonts w:ascii="Calibri Light" w:eastAsia="Calibri Light" w:hAnsi="Calibri Light" w:cs="Calibri Light"/>
          <w:sz w:val="24"/>
          <w:szCs w:val="24"/>
          <w:u w:val="single"/>
          <w:lang w:val="en-US" w:eastAsia="en-US"/>
        </w:rPr>
        <w:t>“Rural women secure access to productive resources and sustainable agriculture</w:t>
      </w:r>
      <w:r>
        <w:rPr>
          <w:rFonts w:ascii="Calibri Light" w:eastAsia="Calibri Light" w:hAnsi="Calibri Light" w:cs="Calibri Light"/>
          <w:b/>
          <w:bCs/>
          <w:sz w:val="24"/>
          <w:szCs w:val="24"/>
          <w:u w:val="single"/>
          <w:lang w:val="en-US" w:eastAsia="en-US"/>
        </w:rPr>
        <w:t>”</w:t>
      </w:r>
      <w:r>
        <w:rPr>
          <w:rFonts w:ascii="Calibri Light" w:eastAsia="Calibri Light" w:hAnsi="Calibri Light" w:cs="Calibri Light"/>
          <w:sz w:val="24"/>
          <w:szCs w:val="24"/>
          <w:lang w:val="en-US" w:eastAsia="en-US"/>
        </w:rPr>
        <w:t>. UN Women’s experience in this field has shown that strengthening income security and economic autonomy requires an integrated approach that simultaneously addresses the issues of land tenure and access to other productive assets and higher value chains, within the context of a changing climate. The geographic coverage will be the center, extreme north and east. A link will be created with the economic capital Douala and bordering zone in the South (Gabon, Guinee equatorial), West ( Nigeria), Extreme North ( Nigeria and Chad).</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In line with this extensive experience, UN Women has identified the two major outcomes, which will require actions from a coalition of partners to achieve transformative change.</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b/>
          <w:bCs/>
          <w:i/>
          <w:iCs/>
          <w:sz w:val="24"/>
          <w:szCs w:val="24"/>
          <w:lang w:val="en-US" w:eastAsia="en-US"/>
        </w:rPr>
        <w:t>Outcome 2.1. Improve the productivity and reduce time and labour burdens of women smallholder farmers by ensuring equal access to climate-resilient productive resources and information</w:t>
      </w:r>
    </w:p>
    <w:p>
      <w:pPr>
        <w:spacing w:before="240" w:after="240" w:line="254"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increase in the production and the reduction of time burden activities, will be realized through the provision of relevant and timely information and knowledge and adequate services and technology while improving the level of women to productive assets like land title. The underlying theory of change goes that </w:t>
      </w:r>
      <w:r>
        <w:rPr>
          <w:rFonts w:ascii="Calibri Light" w:eastAsia="Calibri Light" w:hAnsi="Calibri Light" w:cs="Calibri Light"/>
          <w:sz w:val="24"/>
          <w:szCs w:val="24"/>
          <w:lang w:val="en-US" w:eastAsia="en-US"/>
        </w:rPr>
        <w:t xml:space="preserve">If (i) rural women can have an increased control over productive assets including land tenure; if (ii) rural women have increased capacity to access time-saving and timely information, extension services, tools, and technologies for production, then rural women will be able to produce agricultural products in quantity and with quality. </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 xml:space="preserve">In so doing the country office will support the establishment of rural extension services to rural women, including the training of local women to be part of the extension services. The extension services will be trained and equipped with information packaged to suit the information needs and gaps of rural women. The office will facilitate connection between women cooperatives and qualitative seed producers. All the new communication tools and social media will be used to provide qualitive timely information including digital platforms. </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Besides, the office will also facilitate partnership between women cooperatives and rural equipment pools, and provide women cooperatives with specific equipment they may require. The establishment of processing units will also be supported through a dialogue between equipment enterprises and women cooperatives. Therefore, the main activities are: (i) the production and dissemination of timely information on production through extension services; (ii) the facilitation and provision of qualitive seeds to rural women cooperatives and (iii) the facilitation and provision of equipment and technology for main value chain production. </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In the meantime, the country office will work on eliminating the major obstacles to the acquisition of land title by women especially through advocacy at national and local level, including direct support to women cooperative to acquire the land they have been producing on. The country office will support women leaders with quantitative data and qualitative information for their effective participation in the ongoing discussion on land reform. Experiences and expertise from other countries will be capitalized on and used in the land reform policy dialogue. At the local level, advocacy activities targeting traditional ruler and local authorities will be used to promote women’s role in community natural resources. The main activities are as follows: (i) the promotion of norms and practices favorable to women access and use of natural resources; (ii) organize advocacy activities at national and local levels for increased access of women to productive assets; (iii) support women leaders to participate effectively in the land reform dialogue; (iv) capitalize and share good practices on women and land tenures.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b/>
          <w:bCs/>
          <w:i/>
          <w:iCs/>
          <w:sz w:val="24"/>
          <w:szCs w:val="24"/>
          <w:lang w:val="en-US" w:eastAsia="en-US"/>
        </w:rPr>
        <w:t>Outcome 2.2. Promote opportunities for women farmers to participate in, and move up the green value chain</w:t>
      </w:r>
      <w:r>
        <w:rPr>
          <w:rFonts w:ascii="Calibri Light" w:eastAsia="Calibri Light" w:hAnsi="Calibri Light" w:cs="Calibri Light"/>
          <w:sz w:val="24"/>
          <w:szCs w:val="24"/>
          <w:lang w:val="en-US" w:eastAsia="en-US"/>
        </w:rPr>
        <w:t xml:space="preserve">. </w:t>
      </w:r>
    </w:p>
    <w:p>
      <w:pPr>
        <w:spacing w:before="240" w:after="240" w:line="254"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promotion of women in green value chain will be realized through a good organization and structuring of women groups in cooperatives; an increased access to finances; the improvement of storage and selling facilities and capacities, the establishment of linkages between the producers and the buyers. Sustainable change will be achieved along this theory </w:t>
      </w:r>
      <w:r>
        <w:rPr>
          <w:rFonts w:ascii="Calibri Light" w:eastAsia="Calibri Light" w:hAnsi="Calibri Light" w:cs="Calibri Light"/>
          <w:sz w:val="24"/>
          <w:szCs w:val="24"/>
          <w:lang w:val="en-US" w:eastAsia="en-US"/>
        </w:rPr>
        <w:t xml:space="preserve">If (i)rural women are better organized in strong cooperatives around different value chains; (ii) if rural women have increased skills to access affordable financial services; (iii) if rural women have increased access to connectivity and energy and (iv) if they have increased access to markets, then rural women will have opportunity to move up the sustainable agriculture and value chain.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The organization of women in different cooperatives is an important work to be undertaken. This process will include the sharing of information on cooperatives, the organization of the different meetings and the formalization of the cooperatives. Cooperatives will be organized around main value chain in the area of intervention. The office will capitalize its experience in its support to the development of cooperatives through PIDMA.</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In removing the obstacles to rural women access to finances, the country office will work in partnership with the financial institutions and Programmes which have financial facilities for women. This partnership will be based on the nature of the facilities and the modalities for accessing these services. Advocacy activities will also be developed targeting those financial institutions for the definition of financial products adapted to the needs and production activities of women. Another group of activities will focus on sharing information on finances and modalities to women cooperatives, and prepare them on financial literacy to make their activities a business case. The country office will facilitate dialogue between women cooperatives and financial institutions for affordable credit schemes and installments adapted to the nature of their activities.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improvement of storage and selling capacities include: the establishment of storages in the different zones for cooperatives to be able to store their produce in adequate conditions. Women groups will also be trained on labelling and marketing of agricultural produce. Women groups will only be supported in segments of the chain where they can make a real profit. The definition of the segment will be based on the financial viability conducted for major value chains in the different zones.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The establishment of linkages between producers and buyers will be mainly done through the establishment of the digital platform “buyfromwomen” and the organization of various fairs. Women will be trained on how to follow the market trends and be connected to potential buyers. Special attention will be put on making the digital platform women-friendly and on increasing the income of women by using the digital platform.</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For this outcome, the main activities are (i) the organization and structuring of women groups into cooperatives; (ii) the formalization of cooperatives; </w:t>
      </w:r>
      <w:r>
        <w:rPr>
          <w:rFonts w:ascii="Calibri Light" w:eastAsia="Calibri Light" w:hAnsi="Calibri Light" w:cs="Calibri Light"/>
          <w:sz w:val="24"/>
          <w:szCs w:val="24"/>
          <w:lang w:val="en-US" w:eastAsia="en-US"/>
        </w:rPr>
        <w:t xml:space="preserve">(iii) the facilitation of information and knowledge sharing between women cooperatives and financial institutions and programmes; (iv) the support to women cooperatives in financial literacy and management; </w:t>
      </w: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(v) the improvement of storage capacities; (vi) the improvement of selling capacities; (vii) the establishment of the digital platform “buyfromwomen” and the organization of fairs.</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third thematic impact area is </w:t>
      </w:r>
      <w:r>
        <w:rPr>
          <w:rFonts w:ascii="Calibri Light" w:eastAsia="Calibri Light" w:hAnsi="Calibri Light" w:cs="Calibri Light"/>
          <w:sz w:val="24"/>
          <w:szCs w:val="24"/>
          <w:u w:val="single"/>
          <w:lang w:val="en-US" w:eastAsia="en-US"/>
        </w:rPr>
        <w:t>p</w:t>
      </w:r>
      <w:r>
        <w:rPr>
          <w:rFonts w:ascii="Calibri Light" w:eastAsia="Calibri Light" w:hAnsi="Calibri Light" w:cs="Calibri Light"/>
          <w:sz w:val="24"/>
          <w:szCs w:val="24"/>
          <w:u w:val="single"/>
          <w:lang w:val="en-US" w:eastAsia="en-US"/>
        </w:rPr>
        <w:t>revention violence against women and girls and deliver essential services to survivors.</w:t>
      </w:r>
      <w:r>
        <w:rPr>
          <w:rFonts w:ascii="Calibri Light" w:eastAsia="Calibri Light" w:hAnsi="Calibri Light" w:cs="Calibri Light"/>
          <w:sz w:val="24"/>
          <w:szCs w:val="24"/>
          <w:lang w:val="en-US" w:eastAsia="en-US"/>
        </w:rPr>
        <w:t xml:space="preserve"> </w:t>
      </w:r>
      <w:r>
        <w:rPr>
          <w:rFonts w:ascii="Calibri Light" w:eastAsia="Calibri Light" w:hAnsi="Calibri Light" w:cs="Calibri Light"/>
          <w:sz w:val="24"/>
          <w:szCs w:val="24"/>
          <w:lang w:val="en-US" w:eastAsia="en-US"/>
        </w:rPr>
        <w:t>In complementary to the country office response in the LEAP and the action of other partners including UN agencies (UNFPA; UNICEF) in the domain, the focus under this thematic area will mainly be prevention and law enforcement. the geographic coverage will be national with a focus in the extreme north, East and in the center of the country.Therefore, only one outcome will be planned under this thematic area.</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b/>
          <w:bCs/>
          <w:sz w:val="24"/>
          <w:szCs w:val="24"/>
          <w:lang w:val="en-US" w:eastAsia="en-US"/>
        </w:rPr>
        <w:t> </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b/>
          <w:bCs/>
          <w:sz w:val="24"/>
          <w:szCs w:val="24"/>
          <w:lang w:val="en-US" w:eastAsia="en-US"/>
        </w:rPr>
        <w:t xml:space="preserve">Outcome 3.1. </w:t>
      </w:r>
      <w:r>
        <w:rPr>
          <w:rFonts w:ascii="Calibri Light" w:eastAsia="Calibri Light" w:hAnsi="Calibri Light" w:cs="Calibri Light"/>
          <w:b/>
          <w:bCs/>
          <w:sz w:val="24"/>
          <w:szCs w:val="24"/>
          <w:lang w:val="en-US" w:eastAsia="en-US"/>
        </w:rPr>
        <w:t>National and local actors are better able to prevent violence against women and girls and deliver essential services</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In support to the efforts of the government in the improvement and application of the normative framework on gender based violence, the theory of change</w:t>
      </w:r>
      <w:r>
        <w:rPr>
          <w:rFonts w:ascii="Calibri Light" w:eastAsia="Calibri Light" w:hAnsi="Calibri Light" w:cs="Calibri Light"/>
          <w:sz w:val="24"/>
          <w:szCs w:val="24"/>
          <w:lang w:val="en-US" w:eastAsia="en-US"/>
        </w:rPr>
        <w:t xml:space="preserve">  </w:t>
      </w:r>
      <w:r>
        <w:rPr>
          <w:rFonts w:ascii="Calibri Light" w:eastAsia="Calibri Light" w:hAnsi="Calibri Light" w:cs="Calibri Light"/>
          <w:sz w:val="24"/>
          <w:szCs w:val="24"/>
          <w:lang w:val="en-US" w:eastAsia="en-US"/>
        </w:rPr>
        <w:t xml:space="preserve">for this outcome goes that if (i) </w:t>
      </w:r>
      <w:r>
        <w:rPr>
          <w:rFonts w:ascii="Calibri Light" w:eastAsia="Calibri Light" w:hAnsi="Calibri Light" w:cs="Calibri Light"/>
          <w:sz w:val="24"/>
          <w:szCs w:val="24"/>
          <w:lang w:val="en-US" w:eastAsia="en-US"/>
        </w:rPr>
        <w:t>national and local actors are better able to implement, monitor and report national and international laws on violence against women</w:t>
      </w:r>
      <w:r>
        <w:rPr>
          <w:rFonts w:ascii="Calibri Light" w:eastAsia="Calibri Light" w:hAnsi="Calibri Light" w:cs="Calibri Light"/>
          <w:sz w:val="24"/>
          <w:szCs w:val="24"/>
          <w:lang w:val="en-US" w:eastAsia="en-US"/>
        </w:rPr>
        <w:t xml:space="preserve">, if (ii) men, boys and leaders supported by UNWOMEN are fully engaged and committed to fight against VAW/G; (iii) if religious and traditional leaders are provided with relevant informations on harmful practices impacting reproductive and maternal health and if (vi) if the actions of the different actors at national at local levels are well coordinated; then violence against women and girls will be prevented because the effectives measures are effective.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effective involvement of men and boys as change agents for the promotion and protection of women and girls’ rights will be a cross cutting strategy. </w:t>
      </w:r>
      <w:r>
        <w:rPr>
          <w:rFonts w:ascii="Calibri Light" w:eastAsia="Calibri Light" w:hAnsi="Calibri Light" w:cs="Calibri Light"/>
          <w:sz w:val="24"/>
          <w:szCs w:val="24"/>
          <w:lang w:val="en-US" w:eastAsia="en-US"/>
        </w:rPr>
        <w:t>The strengthening of the capacities of both the Government and civil society actors to participate collectively and effectively in the different international, regional and inter-governmental processes, and to prepare and submit the different reports will be conducted. National actors will be supported to prepare presentations and events in the different sessions of the CSW and prepare reports after the missions. The recommendations on the CSW reports will also be monitored, and appropriate actions will be initiated with relevant institutions for the improvement of the national frameworks.</w:t>
      </w:r>
      <w:r>
        <w:rPr>
          <w:rFonts w:ascii="Calibri Light" w:eastAsia="Calibri Light" w:hAnsi="Calibri Light" w:cs="Calibri Light"/>
          <w:sz w:val="24"/>
          <w:szCs w:val="24"/>
          <w:lang w:val="en-US" w:eastAsia="en-US"/>
        </w:rPr>
        <w:t xml:space="preserve">  </w:t>
      </w:r>
      <w:r>
        <w:rPr>
          <w:rFonts w:ascii="Calibri Light" w:eastAsia="Calibri Light" w:hAnsi="Calibri Light" w:cs="Calibri Light"/>
          <w:sz w:val="24"/>
          <w:szCs w:val="24"/>
          <w:lang w:val="en-US" w:eastAsia="en-US"/>
        </w:rPr>
        <w:t>The Programme will also support regular consultations between the Government and civil society actors on the advancement and challenges concerning gender equality and women empowerment in the country. Special days will be supported for real assessment of progress made at the national and local levels.</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The partnership with the Ministry of Justice, the Ministry of Women Empowerment and the Family, the ministry of external affairs on the improvement of the legal system to fight against gender based violence, will be formalized.</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r>
        <w:rPr>
          <w:rFonts w:ascii="Calibri Light" w:eastAsia="Calibri Light" w:hAnsi="Calibri Light" w:cs="Calibri Light"/>
          <w:sz w:val="24"/>
          <w:szCs w:val="24"/>
          <w:lang w:val="en-US" w:eastAsia="en-US"/>
        </w:rPr>
        <w:t>The activities to be conducted include (i) support the dissemination campaign on the provision of the penal code on gender based violence; (ii) support the campaign on ending child marriage; (iii) develop the capacities of law enforcement actors - police and justice; (iv) support the establishment and functioning of gender desk and call centers and (v) engage with faith based organizations and traditional leaders on the promotion and protection of girls’ rights ; (vi) support to the government and civil society actors on reporting and participating in intergovernmental processes.</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color w:val="FF0000"/>
          <w:sz w:val="24"/>
          <w:szCs w:val="24"/>
          <w:lang w:val="en-US" w:eastAsia="en-US"/>
        </w:rPr>
        <w:t> </w:t>
      </w:r>
    </w:p>
    <w:p>
      <w:pPr>
        <w:pBdr>
          <w:top w:val="none" w:sz="0" w:space="0" w:color="auto"/>
          <w:left w:val="none" w:sz="0" w:space="0" w:color="auto"/>
          <w:bottom w:val="none" w:sz="0" w:space="0" w:color="auto"/>
          <w:right w:val="none" w:sz="0" w:space="0" w:color="auto"/>
        </w:pBd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color w:val="000000"/>
          <w:sz w:val="24"/>
          <w:szCs w:val="24"/>
          <w:lang w:val="en-US" w:eastAsia="en-US"/>
        </w:rPr>
        <w:t xml:space="preserve">The fourth thematic impact area is </w:t>
      </w:r>
      <w:r>
        <w:rPr>
          <w:rFonts w:ascii="Calibri Light" w:eastAsia="Calibri Light" w:hAnsi="Calibri Light" w:cs="Calibri Light"/>
          <w:sz w:val="24"/>
          <w:szCs w:val="24"/>
          <w:u w:val="single"/>
          <w:lang w:val="en-US" w:eastAsia="en-US"/>
        </w:rPr>
        <w:t>women play a greater role in and are better served by humanitarian response and recovery efforts</w:t>
      </w:r>
      <w:r>
        <w:rPr>
          <w:rFonts w:ascii="Calibri Light" w:eastAsia="Calibri Light" w:hAnsi="Calibri Light" w:cs="Calibri Light"/>
          <w:sz w:val="24"/>
          <w:szCs w:val="24"/>
          <w:lang w:val="en-US" w:eastAsia="en-US"/>
        </w:rPr>
        <w:t xml:space="preserve">. As part a regional LEAP programme around the lake chad crisis, the three outcomes covered are part of an ongoing initiative.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b/>
          <w:bCs/>
          <w:i/>
          <w:iCs/>
          <w:sz w:val="24"/>
          <w:szCs w:val="24"/>
          <w:lang w:val="en-US" w:eastAsia="en-US"/>
        </w:rPr>
        <w:t>Outcome 4.1: Protection and economic opportunities for women and girls in temporary shelters &amp; in host communities displaced by sudden onset emergencies (conflict /disease outbreak / disaster) is promoted</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Under this outcome, the country office will build on its four-year experience in providing holistic services through women cohesion spaces to women and girls affected by sudden onset emergencies. So, the theory of change goes that </w:t>
      </w:r>
      <w:r>
        <w:rPr>
          <w:rFonts w:ascii="Calibri Light" w:eastAsia="Calibri Light" w:hAnsi="Calibri Light" w:cs="Calibri Light"/>
          <w:sz w:val="24"/>
          <w:szCs w:val="24"/>
          <w:lang w:val="en-US" w:eastAsia="en-US"/>
        </w:rPr>
        <w:t>if (i) humanitarian actors capacities are strengthened to identify, address and monitor women's needs in humanitarian planning and programming; if (ii) women who have been displaced by sudden onset emergencies are meaningfully engaged in humanitarian response; (iii) if women participation and leadership in disaster risk reduction and resilience building is strengthened; if women have increased access to skills, productive and financial assets, protection mechanisms and effective services; </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The interventions will target internally displaced persons, refugees and the host communities, and the services will cover access to the assets, protection mechanisms, and effective support services required for their social and economic wellbeing and that of their families.</w:t>
      </w:r>
      <w:r>
        <w:rPr>
          <w:rFonts w:ascii="Calibri Light" w:eastAsia="Calibri Light" w:hAnsi="Calibri Light" w:cs="Calibri Light"/>
          <w:sz w:val="24"/>
          <w:szCs w:val="24"/>
          <w:lang w:val="en-US" w:eastAsia="en-US"/>
        </w:rPr>
        <w:t xml:space="preserve"> </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 </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To this effect, UN Women works with the humanitarian actors and national stakeholders in the respective countries, to strengthen coordination and ensure that gender equality and women’s meaningful participation is efficiently integrated into all the phases of programming by the humanitarian system, and to ensure that gender equality considerations are institutionalised. This will include providing tools and guidance on gender analysis and collection and use of sex and age disaggregated data, and on strengthening the agency, voice and capacities of women’s machineries, civil society and gender advocates to engage effectively in humanitarian planning and programming. As an alternative to Gencap, the country office will recruit a national gender and humanitarian specialist who will carry out, under the leadership of the country representative and in collaboration with the humanitarian coordinator</w:t>
      </w:r>
      <w:r>
        <w:rPr>
          <w:rFonts w:ascii="Calibri Light" w:eastAsia="Calibri Light" w:hAnsi="Calibri Light" w:cs="Calibri Light"/>
          <w:sz w:val="24"/>
          <w:szCs w:val="24"/>
          <w:lang w:val="en-US" w:eastAsia="en-US"/>
        </w:rPr>
        <w:t>.</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 activities covered are: </w:t>
      </w:r>
      <w:r>
        <w:rPr>
          <w:rFonts w:ascii="Calibri Light" w:eastAsia="Calibri Light" w:hAnsi="Calibri Light" w:cs="Calibri Light"/>
          <w:sz w:val="24"/>
          <w:szCs w:val="24"/>
          <w:lang w:val="en-GB" w:eastAsia="en-GB"/>
        </w:rPr>
        <w:t xml:space="preserve">(i) </w:t>
      </w:r>
      <w:r>
        <w:rPr>
          <w:rFonts w:ascii="Calibri Light" w:eastAsia="Calibri Light" w:hAnsi="Calibri Light" w:cs="Calibri Light"/>
          <w:sz w:val="24"/>
          <w:szCs w:val="24"/>
          <w:lang w:val="en-US" w:eastAsia="en-US"/>
        </w:rPr>
        <w:t xml:space="preserve">provide technical inputs to mainstream gender into key humanitarian documents (ii) strengthen technical capacity of humanitarian actors for gender mainstreaming ; (iii) Strengthen the capacity of women's organizations and gender machineries in humanitarian planning, response frameworks and programming; (iv) Strengthen the capacity of gender focal points from different inter-agency sector groups and formalize it into a gender working group; (v) </w:t>
      </w:r>
      <w:r>
        <w:rPr>
          <w:rFonts w:ascii="Calibri Light" w:eastAsia="Calibri Light" w:hAnsi="Calibri Light" w:cs="Calibri Light"/>
          <w:sz w:val="24"/>
          <w:szCs w:val="24"/>
          <w:bdr w:val="none" w:sz="0" w:space="0" w:color="auto"/>
          <w:lang w:val="en-US" w:eastAsia="en-US"/>
        </w:rPr>
        <w:t xml:space="preserve">Promote participation and leadership of women in relief distribution, monitoring and coordination committees through establishment of women’s committees and engagement of women in coordination mechanisms in camp or host community setting ; (vi) support groups of women and girls trained in mediation and negotiation in their communities; (vii) coordinate with UNHCR, UNDP and other humanitarian actors to provide psychosocial counselling and referral services to SGBV survivors; provide legal support to SGBV survivors and relevant services including reference, participation in the SGBV working group, and sensitization in the community ; (viii) </w:t>
      </w:r>
      <w:r>
        <w:rPr>
          <w:rFonts w:ascii="Calibri Light" w:eastAsia="Calibri Light" w:hAnsi="Calibri Light" w:cs="Calibri Light"/>
          <w:sz w:val="24"/>
          <w:szCs w:val="24"/>
          <w:lang w:val="en-US" w:eastAsia="en-US"/>
        </w:rPr>
        <w:t>Provide SGBV survivors and vulnerable women with livelihood opportunities and vocational training.</w:t>
      </w:r>
    </w:p>
    <w:p>
      <w:pPr>
        <w:spacing w:before="240" w:after="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bdr w:val="none" w:sz="0" w:space="0" w:color="auto"/>
          <w:lang w:val="en-US" w:eastAsia="en-US"/>
        </w:rPr>
        <w:t>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b/>
          <w:bCs/>
          <w:i/>
          <w:iCs/>
          <w:sz w:val="24"/>
          <w:szCs w:val="24"/>
          <w:lang w:val="en-US" w:eastAsia="en-US"/>
        </w:rPr>
        <w:t>Outcome 4.2: Durable solutions are promoted for women and girls affected by protracted &amp; slow onset crises (conflict/disaster, temporary shelters &amp; host communities)</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This outcome will focus on building resilience and coping mechanisms of affected women and girls. The theory of change is that </w:t>
      </w:r>
      <w:r>
        <w:rPr>
          <w:rFonts w:ascii="Calibri Light" w:eastAsia="Calibri Light" w:hAnsi="Calibri Light" w:cs="Calibri Light"/>
          <w:sz w:val="24"/>
          <w:szCs w:val="24"/>
          <w:lang w:val="en-US" w:eastAsia="en-US"/>
        </w:rPr>
        <w:t>if (i) marginalized women and girls affected by protracted and slow onset have access to required assets, skills and partnership, (ii) if social services and practices are supportive, (iii) the NAP 1325 is effectively implemented, then marginalized women and girls will be able to cope positively.</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 xml:space="preserve">These interventions must provide access to the required skills and assets and be linked with supportive social practices and services for access to livelihoods, income generation and job opportunities, including through second chance education. The activities under this output include: (i) provide literacy and numeracy programmes for women in the Women Cohesion Spaces and adapted vocational training to women's and girls’ groups ; (ii) provide start-up capital and/or tools to women and girls’; (iii) organize women's groups to provide school lunch services; set up community farms among refugees, IDPs and host communities; (iv) </w:t>
      </w:r>
      <w:r>
        <w:rPr>
          <w:rFonts w:ascii="Calibri Light" w:eastAsia="Calibri Light" w:hAnsi="Calibri Light" w:cs="Calibri Light"/>
          <w:sz w:val="24"/>
          <w:szCs w:val="24"/>
          <w:bdr w:val="none" w:sz="0" w:space="0" w:color="auto"/>
          <w:lang w:val="en-US" w:eastAsia="en-US"/>
        </w:rPr>
        <w:t>build capacity of protection service providers including training of police, medical staff and military personnel; (v)</w:t>
      </w:r>
      <w:r>
        <w:rPr>
          <w:rFonts w:ascii="Calibri Light" w:eastAsia="Calibri Light" w:hAnsi="Calibri Light" w:cs="Calibri Light"/>
          <w:sz w:val="24"/>
          <w:szCs w:val="24"/>
          <w:lang w:val="en-US" w:eastAsia="en-US"/>
        </w:rPr>
        <w:t xml:space="preserve"> build capacity of judicial actors and conduct a study on traditional courts and SGBV; (vi) organize community dialogues with traditional and religious leaders, boys and men on SGBV, harmful practices (e.g., early marriage), women's economic empowerment, and feminization of extremism; (vii) Strengthen the capacity of media professionals on gender-sensitive reporting on humanitarian crisis</w:t>
      </w:r>
      <w:r>
        <w:rPr>
          <w:rFonts w:ascii="Calibri Light" w:eastAsia="Calibri Light" w:hAnsi="Calibri Light" w:cs="Calibri Light"/>
          <w:color w:val="000000"/>
          <w:sz w:val="24"/>
          <w:szCs w:val="24"/>
          <w:lang w:val="en-US" w:eastAsia="en-US"/>
        </w:rPr>
        <w:t xml:space="preserve"> (viii) support the government for the effective coordination of the implementation of the NAP 1325.</w:t>
      </w:r>
    </w:p>
    <w:p>
      <w:pPr>
        <w:spacing w:before="240" w:after="240" w:line="240" w:lineRule="auto"/>
        <w:rPr>
          <w:rFonts w:ascii="Times New Roman" w:eastAsia="Times New Roman" w:hAnsi="Times New Roman" w:cs="Times New Roman"/>
          <w:sz w:val="24"/>
          <w:szCs w:val="24"/>
        </w:rPr>
      </w:pPr>
      <w:r>
        <w:rPr>
          <w:rFonts w:ascii="Calibri Light" w:eastAsia="Calibri Light" w:hAnsi="Calibri Light" w:cs="Calibri Light"/>
          <w:sz w:val="16"/>
          <w:szCs w:val="16"/>
          <w:lang w:val="en-US" w:eastAsia="en-US"/>
        </w:rPr>
        <w:t>Building on its experience and drawing from lessons learned, programme will cover four major thematic areas. Each thematic area is operationalized through an outcome aligned with the global strategic plan outputs, the All Africa strategy, the UNDAF outcome and the flagship outcomes. The SN theory of change is as follows:</w:t>
      </w:r>
    </w:p>
    <w:p>
      <w:pPr>
        <w:spacing w:before="240" w:after="240" w:line="240" w:lineRule="auto"/>
        <w:rPr>
          <w:rFonts w:ascii="Times New Roman" w:eastAsia="Times New Roman" w:hAnsi="Times New Roman" w:cs="Times New Roman"/>
          <w:sz w:val="24"/>
          <w:szCs w:val="24"/>
        </w:rPr>
      </w:pPr>
      <w:r>
        <w:rPr>
          <w:rFonts w:ascii="Calibri Light" w:eastAsia="Calibri Light" w:hAnsi="Calibri Light" w:cs="Calibri Light"/>
          <w:sz w:val="16"/>
          <w:szCs w:val="16"/>
          <w:lang w:val="en-US" w:eastAsia="en-US"/>
        </w:rPr>
        <w:t>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27" type="#_x0000_t75" alt="Title: TOC_SN 2018-2020_CMR(Proposed Programme).docx" style="width:40pt;height:40pt;margin-top:0;margin-left:0;mso-position-vertical:bottom;position:absolute;z-index:-251655168" o:oleicon="t">
            <v:imagedata r:id="rId8" o:title=""/>
          </v:shape>
          <o:OLEObject Type="Embed" ProgID="Package" ShapeID="_x0000_s1027" DrawAspect="Icon" ObjectID="_2" r:id="rId11"/>
        </w:pict>
      </w:r>
    </w:p>
    <w:p w:rsidR="00C07D60" w:rsidP="00527AD0">
      <w:pPr>
        <w:jc w:val="left"/>
        <w:rPr>
          <w:b/>
          <w:sz w:val="24"/>
          <w:u w:val="single"/>
        </w:rPr>
      </w:pPr>
    </w:p>
    <w:p w:rsidR="00C07D60" w:rsidP="00527AD0">
      <w:pPr>
        <w:jc w:val="left"/>
        <w:rPr>
          <w:b w:val="0"/>
          <w:sz w:val="24"/>
          <w:u w:val="none"/>
        </w:rPr>
      </w:pPr>
      <w:r>
        <w:rPr>
          <w:b w:val="0"/>
          <w:sz w:val="24"/>
          <w:u w:val="none"/>
        </w:rPr>
        <w:t>TOC_SN 2018-2020_CMR(Proposed Programme).docx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4. Management and Operations :</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The 2018-2020 Strategic Note will focus on the enhancement of organizational effectiveness, with emphasis on robust capacity and efficiency. In this regard, the country office will keep its current presence with the main office in Yaoundé and three field offices in Bertoua (supported by the Leap programme for CAR refugees), in Ntui (supported by the WEE programme) and in Maroua (supported by the Leap for Nigeria refugees).</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The total number of personnel necessary for the implementation of the programme will be thirty-one (31) organized in four main units mainly the LEAP unit, the WEE unit, the Governance unit and the operation unit. Each unit is composed of a programme manager and project officers. All the units will work under the overall supervision of the representation and the direct supervision of the programme managers and the national programme specialist. As an alternative to Gencap, the country office will recruit a national gender and humanitarian specialist to ensure sustainability and institutionalisation of the efforts in the area of gender mainstreaming in the  humanitarian response. For effective implementation of SDG a specialist of gender and statistics, SDG focal person will also be recruited. Regular weekly meetings will be held per unit and with all units to monitor progress in workflow and in actual implementation of the plans and budgets.</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 xml:space="preserve">To ensure compliance with the financial regulations, policies and instructions, the different programme managers and operation team will receive delegation of authority as per the ICF and be properly trained on the POM and the financial regulations. All the staff will be encouraged to finalize the mandatory courses and elaborate their own professional development plans. Safety and security measures will be upfront furnishing each personnel with the requirement training and equipment. </w:t>
      </w:r>
      <w:r>
        <w:rPr>
          <w:rFonts w:ascii="Calibri Light" w:eastAsia="Calibri Light" w:hAnsi="Calibri Light" w:cs="Calibri Light"/>
          <w:lang w:val="en-GB" w:eastAsia="en-GB"/>
        </w:rPr>
        <w:t> </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The 2018-2020 strategic note will be implemented through the annual work plan based on the availability of core and non-core resources and experiencing the DAO</w:t>
      </w:r>
      <w:r>
        <w:rPr>
          <w:rFonts w:ascii="Calibri Light" w:eastAsia="Calibri Light" w:hAnsi="Calibri Light" w:cs="Calibri Light"/>
          <w:lang w:val="en-GB" w:eastAsia="en-GB"/>
        </w:rPr>
        <w:fldChar w:fldCharType="begin"/>
      </w:r>
      <w:r>
        <w:rPr>
          <w:rFonts w:ascii="Calibri Light" w:eastAsia="Calibri Light" w:hAnsi="Calibri Light" w:cs="Calibri Light"/>
          <w:lang w:val="en-GB" w:eastAsia="en-GB"/>
        </w:rPr>
        <w:instrText xml:space="preserve"> HYPERLINK \l "_ftn1" </w:instrText>
      </w:r>
      <w:r>
        <w:rPr>
          <w:rFonts w:ascii="Calibri Light" w:eastAsia="Calibri Light" w:hAnsi="Calibri Light" w:cs="Calibri Light"/>
          <w:lang w:val="en-GB" w:eastAsia="en-GB"/>
        </w:rPr>
        <w:fldChar w:fldCharType="separate"/>
      </w:r>
      <w:r>
        <w:rPr>
          <w:rFonts w:ascii="Calibri Light" w:eastAsia="Calibri Light" w:hAnsi="Calibri Light" w:cs="Calibri Light"/>
          <w:color w:val="0000EE"/>
          <w:u w:val="single" w:color="0000EE"/>
          <w:lang w:val="en-GB" w:eastAsia="en-GB"/>
        </w:rPr>
        <w:t>[1]</w:t>
      </w:r>
      <w:r>
        <w:rPr>
          <w:rFonts w:ascii="Calibri Light" w:eastAsia="Calibri Light" w:hAnsi="Calibri Light" w:cs="Calibri Light"/>
          <w:color w:val="0000EE"/>
          <w:u w:val="single" w:color="0000EE"/>
          <w:lang w:val="en-GB" w:eastAsia="en-GB"/>
        </w:rPr>
        <w:fldChar w:fldCharType="end"/>
      </w:r>
      <w:r>
        <w:rPr>
          <w:rFonts w:ascii="Calibri Light" w:eastAsia="Calibri Light" w:hAnsi="Calibri Light" w:cs="Calibri Light"/>
          <w:lang w:val="en-GB" w:eastAsia="en-GB"/>
        </w:rPr>
        <w:t xml:space="preserve"> modality. The implementation will be ensured through Implementing partners (IP) and responsible parties (RP). All the partners will be trained on RBM and UNWOMEN financial regulations.</w:t>
      </w:r>
    </w:p>
    <w:p>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
          <w:szCs w:val="2"/>
        </w:rPr>
        <w:br w:type="textWrapping" w:clear="all"/>
      </w:r>
    </w:p>
    <w:p>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\l "_ftnref1" </w:instrText>
      </w:r>
      <w:r>
        <w:rPr>
          <w:rFonts w:ascii="Times New Roman" w:eastAsia="Times New Roman" w:hAnsi="Times New Roman" w:cs="Times New Roman"/>
          <w:sz w:val="24"/>
          <w:szCs w:val="24"/>
        </w:rPr>
        <w:fldChar w:fldCharType="separate"/>
      </w:r>
      <w:r>
        <w:rPr>
          <w:rFonts w:ascii="Calibri" w:eastAsia="Calibri" w:hAnsi="Calibri" w:cs="Calibri"/>
          <w:color w:val="0000EE"/>
          <w:sz w:val="20"/>
          <w:szCs w:val="20"/>
          <w:u w:val="single" w:color="0000EE"/>
          <w:lang w:val="en-US" w:eastAsia="en-US"/>
        </w:rPr>
        <w:t>[1]</w:t>
      </w:r>
      <w:r>
        <w:rPr>
          <w:rFonts w:ascii="Calibri" w:eastAsia="Calibri" w:hAnsi="Calibri" w:cs="Calibri"/>
          <w:color w:val="0000EE"/>
          <w:sz w:val="20"/>
          <w:szCs w:val="20"/>
          <w:u w:val="single" w:color="0000EE"/>
          <w:lang w:val="en-US" w:eastAsia="en-US"/>
        </w:rPr>
        <w:fldChar w:fldCharType="end"/>
      </w:r>
      <w:r>
        <w:rPr>
          <w:rFonts w:ascii="Times New Roman" w:eastAsia="Times New Roman" w:hAnsi="Times New Roman" w:cs="Times New Roman"/>
          <w:sz w:val="24"/>
          <w:szCs w:val="24"/>
          <w:lang w:val="en-US" w:eastAsia="en-US"/>
        </w:rPr>
        <w:t xml:space="preserve"> The DAO is not yet operational but the country team is willing to adopt it.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28" type="#_x0000_t75" alt="Title: Procurement Plan CMR 2018.xlsx" style="width:40pt;height:40pt;margin-top:0;margin-left:0;mso-position-vertical:bottom;position:absolute;z-index:-251654144" o:oleicon="t">
            <v:imagedata r:id="rId12" o:title=""/>
          </v:shape>
          <o:OLEObject Type="Embed" ProgID="Package" ShapeID="_x0000_s1028" DrawAspect="Icon" ObjectID="_3" r:id="rId13"/>
        </w:pict>
      </w:r>
    </w:p>
    <w:p w:rsidR="00C07D60" w:rsidP="00527AD0">
      <w:pPr>
        <w:jc w:val="left"/>
        <w:rPr>
          <w:b/>
          <w:sz w:val="24"/>
          <w:u w:val="single"/>
        </w:rPr>
      </w:pPr>
    </w:p>
    <w:p w:rsidR="00C07D60" w:rsidP="00527AD0">
      <w:pPr>
        <w:jc w:val="left"/>
        <w:rPr>
          <w:b w:val="0"/>
          <w:sz w:val="24"/>
          <w:u w:val="none"/>
        </w:rPr>
      </w:pPr>
      <w:r>
        <w:rPr>
          <w:b w:val="0"/>
          <w:sz w:val="24"/>
          <w:u w:val="none"/>
        </w:rPr>
        <w:t>Procurement Plan CMR 2018.xlsx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29" type="#_x0000_t75" alt="Title: Copy of Tableau RH 2018 AVEC Projet.xls" style="width:40pt;height:40pt;margin-top:0;margin-left:0;mso-position-vertical:bottom;position:absolute;z-index:-251653120" o:oleicon="t">
            <v:imagedata r:id="rId12" o:title=""/>
          </v:shape>
          <o:OLEObject Type="Embed" ProgID="Package" ShapeID="_x0000_s1029" DrawAspect="Icon" ObjectID="_4" r:id="rId14"/>
        </w:pict>
      </w:r>
    </w:p>
    <w:p w:rsidR="00C07D60" w:rsidP="00527AD0">
      <w:pPr>
        <w:jc w:val="left"/>
        <w:rPr>
          <w:b/>
          <w:sz w:val="24"/>
          <w:u w:val="single"/>
        </w:rPr>
      </w:pPr>
    </w:p>
    <w:p w:rsidR="00C07D60" w:rsidP="00527AD0">
      <w:pPr>
        <w:jc w:val="left"/>
        <w:rPr>
          <w:b w:val="0"/>
          <w:sz w:val="24"/>
          <w:u w:val="none"/>
        </w:rPr>
      </w:pPr>
      <w:r>
        <w:rPr>
          <w:b w:val="0"/>
          <w:sz w:val="24"/>
          <w:u w:val="none"/>
        </w:rPr>
        <w:t>Copy of Tableau RH 2018 AVEC Projet.xls</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5. Monitoring, Research, Evaluation, Knowledge management and Innovation :</w:t>
      </w:r>
    </w:p>
    <w:p>
      <w:pPr>
        <w:spacing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The country office will strengthen its monitoring, evaluation and research mechanisms in place. For monitoring, the regular weekly staff meetings and the monthly supervision missions will be held. Each programme on non-core will recruit a monitoring and evaluation specialist. In 2018, the country office will formalize a partnership with the national bureau of statistics for the collection and use of gender statistics. This partnership will help establish the baseline for each of the key indicator under the thematic areas. The midterm and annual reviews will be conducted and all flagship programmes will have a final evaluation. The office will actively participate in all the planned reviews and evaluations of the UNDAF. In the perspective of becoming a Tier I country in donor reporting, a special attention will be put on the development of the capacity of all the programme team on donor reporting and a regular follow up by the representative of the DAMS to ensure timely submission of the reports. HQ and regional support will be required to ensure a smooth transition for donor reporting.</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0" type="#_x0000_t75" alt="Title: MERP Note Stratégique 2018-2020.docx" style="width:40pt;height:40pt;margin-top:0;margin-left:0;mso-position-vertical:bottom;position:absolute;z-index:-251652096" o:oleicon="t">
            <v:imagedata r:id="rId8" o:title=""/>
          </v:shape>
          <o:OLEObject Type="Embed" ProgID="Package" ShapeID="_x0000_s1030" DrawAspect="Icon" ObjectID="_5" r:id="rId15"/>
        </w:pict>
      </w:r>
    </w:p>
    <w:p w:rsidR="00C07D60" w:rsidP="00527AD0">
      <w:pPr>
        <w:jc w:val="left"/>
        <w:rPr>
          <w:b/>
          <w:sz w:val="24"/>
          <w:u w:val="single"/>
        </w:rPr>
      </w:pPr>
    </w:p>
    <w:p w:rsidR="00C07D60" w:rsidP="00527AD0">
      <w:pPr>
        <w:jc w:val="left"/>
        <w:rPr>
          <w:b w:val="0"/>
          <w:sz w:val="24"/>
          <w:u w:val="none"/>
        </w:rPr>
      </w:pPr>
      <w:r>
        <w:rPr>
          <w:b w:val="0"/>
          <w:sz w:val="24"/>
          <w:u w:val="none"/>
        </w:rPr>
        <w:t>MERP Note Stratégique 2018-2020.docx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6. Partnerships and Coordination :</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UN Women</w:t>
      </w:r>
      <w:r>
        <w:rPr>
          <w:rFonts w:ascii="Calibri Light" w:eastAsia="Calibri Light" w:hAnsi="Calibri Light" w:cs="Calibri Light"/>
          <w:spacing w:val="55"/>
          <w:lang w:val="en-GB" w:eastAsia="en-GB"/>
        </w:rPr>
        <w:t xml:space="preserve"> </w:t>
      </w:r>
      <w:r>
        <w:rPr>
          <w:rFonts w:ascii="Calibri Light" w:eastAsia="Calibri Light" w:hAnsi="Calibri Light" w:cs="Calibri Light"/>
          <w:lang w:val="en-GB" w:eastAsia="en-GB"/>
        </w:rPr>
        <w:t>plays</w:t>
      </w:r>
      <w:r>
        <w:rPr>
          <w:rFonts w:ascii="Calibri Light" w:eastAsia="Calibri Light" w:hAnsi="Calibri Light" w:cs="Calibri Light"/>
          <w:spacing w:val="54"/>
          <w:lang w:val="en-GB" w:eastAsia="en-GB"/>
        </w:rPr>
        <w:t xml:space="preserve"> </w:t>
      </w:r>
      <w:r>
        <w:rPr>
          <w:rFonts w:ascii="Calibri Light" w:eastAsia="Calibri Light" w:hAnsi="Calibri Light" w:cs="Calibri Light"/>
          <w:lang w:val="en-GB" w:eastAsia="en-GB"/>
        </w:rPr>
        <w:t>the</w:t>
      </w:r>
      <w:r>
        <w:rPr>
          <w:rFonts w:ascii="Calibri Light" w:eastAsia="Calibri Light" w:hAnsi="Calibri Light" w:cs="Calibri Light"/>
          <w:spacing w:val="55"/>
          <w:lang w:val="en-GB" w:eastAsia="en-GB"/>
        </w:rPr>
        <w:t xml:space="preserve"> </w:t>
      </w:r>
      <w:r>
        <w:rPr>
          <w:rFonts w:ascii="Calibri Light" w:eastAsia="Calibri Light" w:hAnsi="Calibri Light" w:cs="Calibri Light"/>
          <w:lang w:val="en-GB" w:eastAsia="en-GB"/>
        </w:rPr>
        <w:t>overall</w:t>
      </w:r>
      <w:r>
        <w:rPr>
          <w:rFonts w:ascii="Calibri Light" w:eastAsia="Calibri Light" w:hAnsi="Calibri Light" w:cs="Calibri Light"/>
          <w:spacing w:val="54"/>
          <w:lang w:val="en-GB" w:eastAsia="en-GB"/>
        </w:rPr>
        <w:t xml:space="preserve"> </w:t>
      </w:r>
      <w:r>
        <w:rPr>
          <w:rFonts w:ascii="Calibri Light" w:eastAsia="Calibri Light" w:hAnsi="Calibri Light" w:cs="Calibri Light"/>
          <w:lang w:val="en-GB" w:eastAsia="en-GB"/>
        </w:rPr>
        <w:t>coordinating</w:t>
      </w:r>
      <w:r>
        <w:rPr>
          <w:rFonts w:ascii="Calibri Light" w:eastAsia="Calibri Light" w:hAnsi="Calibri Light" w:cs="Calibri Light"/>
          <w:spacing w:val="55"/>
          <w:lang w:val="en-GB" w:eastAsia="en-GB"/>
        </w:rPr>
        <w:t xml:space="preserve"> </w:t>
      </w:r>
      <w:r>
        <w:rPr>
          <w:rFonts w:ascii="Calibri Light" w:eastAsia="Calibri Light" w:hAnsi="Calibri Light" w:cs="Calibri Light"/>
          <w:lang w:val="en-GB" w:eastAsia="en-GB"/>
        </w:rPr>
        <w:t>role</w:t>
      </w:r>
      <w:r>
        <w:rPr>
          <w:rFonts w:ascii="Calibri Light" w:eastAsia="Calibri Light" w:hAnsi="Calibri Light" w:cs="Calibri Light"/>
          <w:spacing w:val="56"/>
          <w:lang w:val="en-GB" w:eastAsia="en-GB"/>
        </w:rPr>
        <w:t xml:space="preserve"> </w:t>
      </w:r>
      <w:r>
        <w:rPr>
          <w:rFonts w:ascii="Calibri Light" w:eastAsia="Calibri Light" w:hAnsi="Calibri Light" w:cs="Calibri Light"/>
          <w:lang w:val="en-GB" w:eastAsia="en-GB"/>
        </w:rPr>
        <w:t>of</w:t>
      </w:r>
      <w:r>
        <w:rPr>
          <w:rFonts w:ascii="Calibri Light" w:eastAsia="Calibri Light" w:hAnsi="Calibri Light" w:cs="Calibri Light"/>
          <w:spacing w:val="53"/>
          <w:lang w:val="en-GB" w:eastAsia="en-GB"/>
        </w:rPr>
        <w:t xml:space="preserve"> </w:t>
      </w:r>
      <w:r>
        <w:rPr>
          <w:rFonts w:ascii="Calibri Light" w:eastAsia="Calibri Light" w:hAnsi="Calibri Light" w:cs="Calibri Light"/>
          <w:lang w:val="en-GB" w:eastAsia="en-GB"/>
        </w:rPr>
        <w:t>the</w:t>
      </w:r>
      <w:r>
        <w:rPr>
          <w:rFonts w:ascii="Calibri Light" w:eastAsia="Calibri Light" w:hAnsi="Calibri Light" w:cs="Calibri Light"/>
          <w:spacing w:val="55"/>
          <w:lang w:val="en-GB" w:eastAsia="en-GB"/>
        </w:rPr>
        <w:t xml:space="preserve"> </w:t>
      </w:r>
      <w:r>
        <w:rPr>
          <w:rFonts w:ascii="Calibri Light" w:eastAsia="Calibri Light" w:hAnsi="Calibri Light" w:cs="Calibri Light"/>
          <w:lang w:val="en-GB" w:eastAsia="en-GB"/>
        </w:rPr>
        <w:t>UN</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System,</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and</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supports</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the</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Government</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on</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normative</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and</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strategic</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issues</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such</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as</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the</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National</w:t>
      </w:r>
      <w:r>
        <w:rPr>
          <w:rFonts w:ascii="Calibri Light" w:eastAsia="Calibri Light" w:hAnsi="Calibri Light" w:cs="Calibri Light"/>
          <w:spacing w:val="41"/>
          <w:lang w:val="en-GB" w:eastAsia="en-GB"/>
        </w:rPr>
        <w:t xml:space="preserve"> </w:t>
      </w:r>
      <w:r>
        <w:rPr>
          <w:rFonts w:ascii="Calibri Light" w:eastAsia="Calibri Light" w:hAnsi="Calibri Light" w:cs="Calibri Light"/>
          <w:lang w:val="en-GB" w:eastAsia="en-GB"/>
        </w:rPr>
        <w:t>Gender</w:t>
      </w:r>
      <w:r>
        <w:rPr>
          <w:rFonts w:ascii="Calibri Light" w:eastAsia="Calibri Light" w:hAnsi="Calibri Light" w:cs="Calibri Light"/>
          <w:spacing w:val="40"/>
          <w:lang w:val="en-GB" w:eastAsia="en-GB"/>
        </w:rPr>
        <w:t xml:space="preserve"> </w:t>
      </w:r>
      <w:r>
        <w:rPr>
          <w:rFonts w:ascii="Calibri Light" w:eastAsia="Calibri Light" w:hAnsi="Calibri Light" w:cs="Calibri Light"/>
          <w:lang w:val="en-GB" w:eastAsia="en-GB"/>
        </w:rPr>
        <w:t>Policy,</w:t>
      </w:r>
      <w:r>
        <w:rPr>
          <w:rFonts w:ascii="Calibri Light" w:eastAsia="Calibri Light" w:hAnsi="Calibri Light" w:cs="Calibri Light"/>
          <w:spacing w:val="41"/>
          <w:lang w:val="en-GB" w:eastAsia="en-GB"/>
        </w:rPr>
        <w:t xml:space="preserve"> </w:t>
      </w:r>
      <w:r>
        <w:rPr>
          <w:rFonts w:ascii="Calibri Light" w:eastAsia="Calibri Light" w:hAnsi="Calibri Light" w:cs="Calibri Light"/>
          <w:lang w:val="en-GB" w:eastAsia="en-GB"/>
        </w:rPr>
        <w:t xml:space="preserve">Gender-sensitive planning </w:t>
      </w:r>
      <w:r>
        <w:rPr>
          <w:rFonts w:ascii="Calibri Light" w:eastAsia="Calibri Light" w:hAnsi="Calibri Light" w:cs="Calibri Light"/>
          <w:lang w:val="en-GB" w:eastAsia="en-GB"/>
        </w:rPr>
        <w:t xml:space="preserve">budgeting </w:t>
      </w:r>
      <w:r>
        <w:rPr>
          <w:rFonts w:ascii="Calibri Light" w:eastAsia="Calibri Light" w:hAnsi="Calibri Light" w:cs="Calibri Light"/>
          <w:lang w:val="en-GB" w:eastAsia="en-GB"/>
        </w:rPr>
        <w:t>and</w:t>
      </w:r>
      <w:r>
        <w:rPr>
          <w:rFonts w:ascii="Calibri Light" w:eastAsia="Calibri Light" w:hAnsi="Calibri Light" w:cs="Calibri Light"/>
          <w:spacing w:val="41"/>
          <w:lang w:val="en-GB" w:eastAsia="en-GB"/>
        </w:rPr>
        <w:t xml:space="preserve"> </w:t>
      </w:r>
      <w:r>
        <w:rPr>
          <w:rFonts w:ascii="Calibri Light" w:eastAsia="Calibri Light" w:hAnsi="Calibri Light" w:cs="Calibri Light"/>
          <w:lang w:val="en-GB" w:eastAsia="en-GB"/>
        </w:rPr>
        <w:t>financing,</w:t>
      </w:r>
      <w:r>
        <w:rPr>
          <w:rFonts w:ascii="Calibri Light" w:eastAsia="Calibri Light" w:hAnsi="Calibri Light" w:cs="Calibri Light"/>
          <w:spacing w:val="40"/>
          <w:lang w:val="en-GB" w:eastAsia="en-GB"/>
        </w:rPr>
        <w:t xml:space="preserve"> </w:t>
      </w:r>
      <w:r>
        <w:rPr>
          <w:rFonts w:ascii="Calibri Light" w:eastAsia="Calibri Light" w:hAnsi="Calibri Light" w:cs="Calibri Light"/>
          <w:lang w:val="en-GB" w:eastAsia="en-GB"/>
        </w:rPr>
        <w:t>mainstreaming</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Gender</w:t>
      </w:r>
      <w:r>
        <w:rPr>
          <w:rFonts w:ascii="Calibri Light" w:eastAsia="Calibri Light" w:hAnsi="Calibri Light" w:cs="Calibri Light"/>
          <w:lang w:val="en-GB" w:eastAsia="en-GB"/>
        </w:rPr>
        <w:t xml:space="preserve"> </w:t>
      </w:r>
      <w:r>
        <w:rPr>
          <w:rFonts w:ascii="Calibri Light" w:eastAsia="Calibri Light" w:hAnsi="Calibri Light" w:cs="Calibri Light"/>
          <w:lang w:val="en-GB" w:eastAsia="en-GB"/>
        </w:rPr>
        <w:t>in</w:t>
      </w:r>
      <w:r>
        <w:rPr>
          <w:rFonts w:ascii="Calibri Light" w:eastAsia="Calibri Light" w:hAnsi="Calibri Light" w:cs="Calibri Light"/>
          <w:lang w:val="en-GB" w:eastAsia="en-GB"/>
        </w:rPr>
        <w:t xml:space="preserve"> key national strategies and plans</w:t>
      </w:r>
      <w:r>
        <w:rPr>
          <w:rFonts w:ascii="Calibri Light" w:eastAsia="Calibri Light" w:hAnsi="Calibri Light" w:cs="Calibri Light"/>
          <w:lang w:val="en-GB" w:eastAsia="en-GB"/>
        </w:rPr>
        <w:t>.</w:t>
      </w:r>
      <w:r>
        <w:rPr>
          <w:rFonts w:ascii="Calibri Light" w:eastAsia="Calibri Light" w:hAnsi="Calibri Light" w:cs="Calibri Light"/>
          <w:lang w:val="en-GB" w:eastAsia="en-GB"/>
        </w:rPr>
        <w:t xml:space="preserve"> </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To achieve the outcomes of the present strategic note, the country office will develop and strengthen its partnership with the Government, Civil society organisations, private sector and sister UN agencies. Each partner is selected based on its collaborative advantage per outcome.</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 xml:space="preserve">Under the thematic area of </w:t>
      </w:r>
      <w:r>
        <w:rPr>
          <w:rFonts w:ascii="Calibri Light" w:eastAsia="Calibri Light" w:hAnsi="Calibri Light" w:cs="Calibri Light"/>
          <w:u w:val="single"/>
          <w:lang w:val="en-GB" w:eastAsia="en-GB"/>
        </w:rPr>
        <w:t>Governance and Leadership</w:t>
      </w:r>
      <w:r>
        <w:rPr>
          <w:rFonts w:ascii="Calibri Light" w:eastAsia="Calibri Light" w:hAnsi="Calibri Light" w:cs="Calibri Light"/>
          <w:lang w:val="en-GB" w:eastAsia="en-GB"/>
        </w:rPr>
        <w:t xml:space="preserve">, solid partnership will be developed with the Ministry of Women Empowerment and the family (MINPROFF), the Ministry of Planning and Regional Development, the Ministry of Finance and the Ministry of Territorial Administration and Decentralization. At the operational level, the office will sign an MOU for technical assistance with the National Elections Commission (ELECAM), the National Institute of Statistics (INS), the National Programme for Local Planning (PNDP) and the National Fund for Local Councils (FEICOM). The partnership developed with specific NGOs like “More Women in Politics” and other NGOs will continue. Given the diversity of civil society organizations in the domain, the country office will work in establishing stronger women platforms, especially in political participation and leadership. The experience and expertise of other offices will be used in the form of South- South Cooperation. </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 xml:space="preserve">In </w:t>
      </w:r>
      <w:r>
        <w:rPr>
          <w:rFonts w:ascii="Calibri Light" w:eastAsia="Calibri Light" w:hAnsi="Calibri Light" w:cs="Calibri Light"/>
          <w:u w:val="single"/>
          <w:lang w:val="en-GB" w:eastAsia="en-GB"/>
        </w:rPr>
        <w:t>women, economic empowerment and entrepreneurship</w:t>
      </w:r>
      <w:r>
        <w:rPr>
          <w:rFonts w:ascii="Calibri Light" w:eastAsia="Calibri Light" w:hAnsi="Calibri Light" w:cs="Calibri Light"/>
          <w:lang w:val="en-GB" w:eastAsia="en-GB"/>
        </w:rPr>
        <w:t>, partnership will be developed with the Ministry of Agriculture and Rural Development, the Ministry of Public Works and the Ministry of Women Empowerment and the Family. Collaboration will be formalized in MOU with the programmes in value chain agriculture, the BAD/BDEAC coordination unit at the Ministry of Public Works, and other relevant investment programmes.</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In ending violence against women and girls, the country office will continue to support to Ministry of Women Empowerment and the Family, the Ministry of Justice and the Parliament to improve the normative framework. Collaboration with the General Delegation for National Security will continue in strengthening the capacity of the police force in the promotion and protection of women. Collaboration will be established with local councils at the decentralized level.</w:t>
      </w:r>
    </w:p>
    <w:p>
      <w:pPr>
        <w:spacing w:before="120" w:after="120" w:line="240" w:lineRule="auto"/>
        <w:ind w:left="0" w:right="0"/>
        <w:rPr>
          <w:rFonts w:ascii="Times New Roman" w:eastAsia="Times New Roman" w:hAnsi="Times New Roman" w:cs="Times New Roman"/>
          <w:sz w:val="24"/>
          <w:szCs w:val="24"/>
        </w:rPr>
      </w:pPr>
      <w:r>
        <w:rPr>
          <w:rFonts w:ascii="Calibri Light" w:eastAsia="Calibri Light" w:hAnsi="Calibri Light" w:cs="Calibri Light"/>
          <w:lang w:val="en-GB" w:eastAsia="en-GB"/>
        </w:rPr>
        <w:t xml:space="preserve">For the </w:t>
      </w:r>
      <w:r>
        <w:rPr>
          <w:rFonts w:ascii="Calibri Light" w:eastAsia="Calibri Light" w:hAnsi="Calibri Light" w:cs="Calibri Light"/>
          <w:u w:val="single"/>
          <w:lang w:val="en-GB" w:eastAsia="en-GB"/>
        </w:rPr>
        <w:t>LEAP programme</w:t>
      </w:r>
      <w:r>
        <w:rPr>
          <w:rFonts w:ascii="Calibri Light" w:eastAsia="Calibri Light" w:hAnsi="Calibri Light" w:cs="Calibri Light"/>
          <w:lang w:val="en-GB" w:eastAsia="en-GB"/>
        </w:rPr>
        <w:t>, the already established partnership with the Ministry of Women Empowerment at national and regional levels, will continue and collaboration will be strengthened with the governors in the different regions of interventions. The strengthening of national capacities (community, local NGOs) will continue to drive the partnership. Interaction with the Ministry of External Relations will be intensified on the implementation of the national action plan for women, peace and security (NAP 1325).</w:t>
      </w:r>
    </w:p>
    <w:p>
      <w:pPr>
        <w:spacing w:before="240" w:after="240" w:line="276"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In relation to its coordination mandate, the country office has made substantive contributions in leading the UN gender team, the national gender thematic group and gender based violence working group. The office has been able to lead, coordinate and promote accountability of UN system to deliver on gender equality and the empowerment of women. The country office will lead the implementation of the action plan of the gender score card and the gender marker and will continue to reports on the achievements to the UNCT and to the HCT. Within the UN family, the collaboration will be intensified with UNFPA (gender based violence), WFP, FAO and ILO (women economic empowerment) and UNDP, UNESCO (Governance and leadership), OCHA (LEAP).</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1" type="#_x0000_t75" alt="Title: Partners and stakeholders_CMR_SN2018-2020Table.docx" style="width:40pt;height:40pt;margin-top:0;margin-left:0;mso-position-vertical:bottom;position:absolute;z-index:-251651072" o:oleicon="t">
            <v:imagedata r:id="rId8" o:title=""/>
          </v:shape>
          <o:OLEObject Type="Embed" ProgID="Package" ShapeID="_x0000_s1031" DrawAspect="Icon" ObjectID="_6" r:id="rId16"/>
        </w:pict>
      </w:r>
    </w:p>
    <w:p w:rsidR="00C07D60" w:rsidP="00527AD0">
      <w:pPr>
        <w:jc w:val="left"/>
        <w:rPr>
          <w:b/>
          <w:sz w:val="24"/>
          <w:u w:val="single"/>
        </w:rPr>
      </w:pPr>
    </w:p>
    <w:p w:rsidR="00C07D60" w:rsidP="00527AD0">
      <w:pPr>
        <w:jc w:val="left"/>
        <w:rPr>
          <w:b w:val="0"/>
          <w:sz w:val="24"/>
          <w:u w:val="none"/>
        </w:rPr>
      </w:pPr>
      <w:r>
        <w:rPr>
          <w:b w:val="0"/>
          <w:sz w:val="24"/>
          <w:u w:val="none"/>
        </w:rPr>
        <w:t>Partners and stakeholders_CMR_SN2018-2020Table.docx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7. Resource Mobilization Strategy :</w:t>
      </w:r>
    </w:p>
    <w:p>
      <w:pPr>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
    <w:p>
      <w:pPr>
        <w:spacing w:before="0" w:after="165" w:line="240" w:lineRule="auto"/>
        <w:ind w:left="0" w:right="0"/>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US" w:eastAsia="en-US"/>
        </w:rPr>
        <w:t>The total budget of the strategic note is $ 31 078 300 of which 19 880 000 is to be mobilized.</w:t>
      </w:r>
      <w:r>
        <w:rPr>
          <w:rFonts w:ascii="Calibri Light" w:eastAsia="Calibri Light" w:hAnsi="Calibri Light" w:cs="Calibri Light"/>
          <w:sz w:val="24"/>
          <w:szCs w:val="24"/>
          <w:lang w:val="en-US" w:eastAsia="en-US"/>
        </w:rPr>
        <w:t>To address the funding gap the country office with the support of HQ and the regional office will develop a robust resource mobilization strategy with the government, bilateral donors and the private sector. The country office will join the UN team mobilization strategies for joint programmes under Pillar I and Pillar 4 of the UNDAF.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2" type="#_x0000_t75" alt="Title: SN_HR_CMR.docx" style="width:40pt;height:40pt;margin-top:0;margin-left:0;mso-position-vertical:bottom;position:absolute;z-index:-251650048" o:oleicon="t">
            <v:imagedata r:id="rId8" o:title=""/>
          </v:shape>
          <o:OLEObject Type="Embed" ProgID="Package" ShapeID="_x0000_s1032" DrawAspect="Icon" ObjectID="_7" r:id="rId17"/>
        </w:pict>
      </w:r>
    </w:p>
    <w:p w:rsidR="00C07D60" w:rsidP="00527AD0">
      <w:pPr>
        <w:jc w:val="left"/>
        <w:rPr>
          <w:b/>
          <w:sz w:val="24"/>
          <w:u w:val="single"/>
        </w:rPr>
      </w:pPr>
    </w:p>
    <w:p w:rsidR="00C07D60" w:rsidP="00527AD0">
      <w:pPr>
        <w:jc w:val="left"/>
        <w:rPr>
          <w:b w:val="0"/>
          <w:sz w:val="24"/>
          <w:u w:val="none"/>
        </w:rPr>
      </w:pPr>
      <w:r>
        <w:rPr>
          <w:b w:val="0"/>
          <w:sz w:val="24"/>
          <w:u w:val="none"/>
        </w:rPr>
        <w:t>SN_HR_CMR.docx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8. Communication and Advocacy :</w:t>
      </w:r>
    </w:p>
    <w:p>
      <w:pPr>
        <w:spacing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To effectively and efficiently implement the 2018-2020 Strategic Plan for UN Women Cameroon, a comprehensive communication strategy will be put in place. The objective of the communication and visibility strategy will focus around the global communications objectives which are:</w:t>
      </w:r>
    </w:p>
    <w:p>
      <w:pPr>
        <w:spacing w:before="240" w:line="257" w:lineRule="auto"/>
        <w:ind w:hanging="360"/>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1-</w:t>
      </w:r>
      <w:r>
        <w:rPr>
          <w:rFonts w:ascii="Times New Roman" w:eastAsia="Times New Roman" w:hAnsi="Times New Roman" w:cs="Times New Roman"/>
          <w:b w:val="0"/>
          <w:bCs w:val="0"/>
          <w:i w:val="0"/>
          <w:iCs w:val="0"/>
          <w:smallCaps w:val="0"/>
          <w:sz w:val="14"/>
          <w:szCs w:val="14"/>
          <w:lang w:val="en-GB" w:eastAsia="en-GB"/>
        </w:rPr>
        <w:t xml:space="preserve">      </w:t>
      </w:r>
      <w:r>
        <w:rPr>
          <w:rFonts w:ascii="Calibri Light" w:eastAsia="Calibri Light" w:hAnsi="Calibri Light" w:cs="Calibri Light"/>
          <w:sz w:val="24"/>
          <w:szCs w:val="24"/>
          <w:lang w:val="en-GB" w:eastAsia="en-GB"/>
        </w:rPr>
        <w:t xml:space="preserve">Advocating for Women’s Empowerment, Rights and Gender Equality </w:t>
      </w:r>
    </w:p>
    <w:p>
      <w:pPr>
        <w:spacing w:before="240" w:line="257" w:lineRule="auto"/>
        <w:ind w:hanging="360"/>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2-</w:t>
      </w:r>
      <w:r>
        <w:rPr>
          <w:rFonts w:ascii="Times New Roman" w:eastAsia="Times New Roman" w:hAnsi="Times New Roman" w:cs="Times New Roman"/>
          <w:b w:val="0"/>
          <w:bCs w:val="0"/>
          <w:i w:val="0"/>
          <w:iCs w:val="0"/>
          <w:smallCaps w:val="0"/>
          <w:sz w:val="14"/>
          <w:szCs w:val="14"/>
          <w:lang w:val="en-GB" w:eastAsia="en-GB"/>
        </w:rPr>
        <w:t xml:space="preserve">      </w:t>
      </w:r>
      <w:r>
        <w:rPr>
          <w:rFonts w:ascii="Calibri Light" w:eastAsia="Calibri Light" w:hAnsi="Calibri Light" w:cs="Calibri Light"/>
          <w:sz w:val="24"/>
          <w:szCs w:val="24"/>
          <w:lang w:val="en-GB" w:eastAsia="en-GB"/>
        </w:rPr>
        <w:t>Increasing UN Women Visibility in Support of Resource Mobilization.</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Our key expected outcome for communications in Cameroon will therefore be articulated in two key areas: 1) it is envisaged by 2020 that Cameroon’s priority issues are advanced through targeted, measurable and innovative communication that will impact and catalyse change amongst key constituencies. 2) By the end of 2020, UN Women’s brand will be reinforced nation-wide to maintain a positive profile of our activities, our partners and our staff. Internal communication platforms, tools and assets will increase information sharing and collaboration, and strengthen Cameroon’s external communication for resource mobilisation.</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sz w:val="24"/>
          <w:szCs w:val="24"/>
          <w:lang w:val="en-GB" w:eastAsia="en-GB"/>
        </w:rPr>
        <w:t xml:space="preserve">The communications strategy will capitalize on the following key strategic enablers to achieve the above-mentioned objectives: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i/>
          <w:iCs/>
          <w:sz w:val="24"/>
          <w:szCs w:val="24"/>
          <w:lang w:val="en-GB" w:eastAsia="en-GB"/>
        </w:rPr>
        <w:t>a. Investing in the Gender Knowledge Centre (GKC)</w:t>
      </w:r>
      <w:r>
        <w:rPr>
          <w:rFonts w:ascii="Calibri Light" w:eastAsia="Calibri Light" w:hAnsi="Calibri Light" w:cs="Calibri Light"/>
          <w:sz w:val="24"/>
          <w:szCs w:val="24"/>
          <w:lang w:val="en-GB" w:eastAsia="en-GB"/>
        </w:rPr>
        <w:t>: UN Women Cameroon has set up a knowledge hub which produces, collects, stocks and disseminates knowledge products on gender related issues to the public. Within 2018-2020, UN Women Cameroon will invest in producing more gender knowledge products on its key thematic priorities. More fact sheet, study reports, flyers, audio and video documentaries, roll ups, and visibility materials will be produced and collected from key partners. UN Women will engage in more outreach events like open door days to disseminate these products. More users of the Centre will be encouraged to visit and carry out research at the GKC.</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i/>
          <w:iCs/>
          <w:sz w:val="24"/>
          <w:szCs w:val="24"/>
          <w:lang w:val="en-GB" w:eastAsia="en-GB"/>
        </w:rPr>
        <w:t>b. Gender Newsletter</w:t>
      </w:r>
      <w:r>
        <w:rPr>
          <w:rFonts w:ascii="Calibri Light" w:eastAsia="Calibri Light" w:hAnsi="Calibri Light" w:cs="Calibri Light"/>
          <w:sz w:val="24"/>
          <w:szCs w:val="24"/>
          <w:lang w:val="en-GB" w:eastAsia="en-GB"/>
        </w:rPr>
        <w:t>:</w:t>
      </w:r>
      <w:r>
        <w:rPr>
          <w:rFonts w:ascii="Calibri Light" w:eastAsia="Calibri Light" w:hAnsi="Calibri Light" w:cs="Calibri Light"/>
          <w:sz w:val="24"/>
          <w:szCs w:val="24"/>
          <w:lang w:val="en-GB" w:eastAsia="en-GB"/>
        </w:rPr>
        <w:t xml:space="preserve">  </w:t>
      </w:r>
      <w:r>
        <w:rPr>
          <w:rFonts w:ascii="Calibri Light" w:eastAsia="Calibri Light" w:hAnsi="Calibri Light" w:cs="Calibri Light"/>
          <w:sz w:val="24"/>
          <w:szCs w:val="24"/>
          <w:lang w:val="en-GB" w:eastAsia="en-GB"/>
        </w:rPr>
        <w:t>The Newsletter is a platform established by UN Women Cameroon for all the UN agencies in Cameroon and other key partners to publish and share with the public, news and current development in gender. Across 2018-2020, regular flow of compelling stories and outreach messages in support of UN Women’s activities are disseminated using this medium and a variety of other channels (web, radio, social media, print, TV and traditional forms of communication) to inform the society on gender related issues.</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i/>
          <w:iCs/>
          <w:sz w:val="24"/>
          <w:szCs w:val="24"/>
          <w:lang w:val="en-GB" w:eastAsia="en-GB"/>
        </w:rPr>
        <w:t>c. Partnership</w:t>
      </w:r>
      <w:r>
        <w:rPr>
          <w:rFonts w:ascii="Calibri Light" w:eastAsia="Calibri Light" w:hAnsi="Calibri Light" w:cs="Calibri Light"/>
          <w:sz w:val="24"/>
          <w:szCs w:val="24"/>
          <w:lang w:val="en-GB" w:eastAsia="en-GB"/>
        </w:rPr>
        <w:t>: strategic partnership with the media as well as the UN Communications Group (UNCG) will be maintained. The Network of Communicators on Gender-NETCOMGENDER will be re-established and rendered more functional to drive forward UN Women’s mandate. Across this period, more capacity building workshops, field visits and joint publications with UNCG and NETCOMGENDER will be ensured for visibility.</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i/>
          <w:iCs/>
          <w:sz w:val="24"/>
          <w:szCs w:val="24"/>
          <w:lang w:val="en-GB" w:eastAsia="en-GB"/>
        </w:rPr>
        <w:t>d. Campaigns and International days</w:t>
      </w:r>
      <w:r>
        <w:rPr>
          <w:rFonts w:ascii="Calibri Light" w:eastAsia="Calibri Light" w:hAnsi="Calibri Light" w:cs="Calibri Light"/>
          <w:sz w:val="24"/>
          <w:szCs w:val="24"/>
          <w:lang w:val="en-GB" w:eastAsia="en-GB"/>
        </w:rPr>
        <w:t>: Across 2018-2020, UN Women Cameroon will capitalize on key campaigns such as the HeForShe and the 16 Days of Activism to advocate for women’s empowerment and gender equality. The International Women’s Day, The International Day of the Rural Woman, The International Day of the African Woman, World Humanitarian Day and the United Nations Day amongst others will be used as platforms to showcase UN Women’s interventions in those respective areas.</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i/>
          <w:iCs/>
          <w:sz w:val="24"/>
          <w:szCs w:val="24"/>
          <w:lang w:val="en-GB" w:eastAsia="en-GB"/>
        </w:rPr>
        <w:t>e. Visibility for programmes</w:t>
      </w:r>
      <w:r>
        <w:rPr>
          <w:rFonts w:ascii="Calibri Light" w:eastAsia="Calibri Light" w:hAnsi="Calibri Light" w:cs="Calibri Light"/>
          <w:sz w:val="24"/>
          <w:szCs w:val="24"/>
          <w:lang w:val="en-GB" w:eastAsia="en-GB"/>
        </w:rPr>
        <w:t>.</w:t>
      </w:r>
      <w:r>
        <w:rPr>
          <w:rFonts w:ascii="Calibri Light" w:eastAsia="Calibri Light" w:hAnsi="Calibri Light" w:cs="Calibri Light"/>
          <w:sz w:val="24"/>
          <w:szCs w:val="24"/>
          <w:lang w:val="en-GB" w:eastAsia="en-GB"/>
        </w:rPr>
        <w:t xml:space="preserve">   </w:t>
      </w:r>
      <w:r>
        <w:rPr>
          <w:rFonts w:ascii="Calibri Light" w:eastAsia="Calibri Light" w:hAnsi="Calibri Light" w:cs="Calibri Light"/>
          <w:sz w:val="24"/>
          <w:szCs w:val="24"/>
          <w:lang w:val="en-GB" w:eastAsia="en-GB"/>
        </w:rPr>
        <w:t>The cross cutting role of communications will be reinforced in terms of communicating on results and communicating for impact. Across 2018-2020, specific communications strategies and action points for different projects will be established.</w:t>
      </w:r>
      <w:r>
        <w:rPr>
          <w:rFonts w:ascii="Calibri Light" w:eastAsia="Calibri Light" w:hAnsi="Calibri Light" w:cs="Calibri Light"/>
          <w:sz w:val="24"/>
          <w:szCs w:val="24"/>
          <w:lang w:val="en-GB" w:eastAsia="en-GB"/>
        </w:rPr>
        <w:t xml:space="preserve">  </w:t>
      </w:r>
      <w:r>
        <w:rPr>
          <w:rFonts w:ascii="Calibri Light" w:eastAsia="Calibri Light" w:hAnsi="Calibri Light" w:cs="Calibri Light"/>
          <w:sz w:val="24"/>
          <w:szCs w:val="24"/>
          <w:lang w:val="en-GB" w:eastAsia="en-GB"/>
        </w:rPr>
        <w:t>Regular flow of compelling stories and outreach messages in support of UN Women’s activities are disseminated using a variety of channels (web, radio, social media, print, TV and traditional forms of communication). This will also involve communications for resource mobilisation as current and potential donors will equally be targeted. By the end of 2020, more resources would have been mobilized through the implementation of the communications and visibility strategy.</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9. Key Risks and Risk Mitigation :</w:t>
      </w:r>
    </w:p>
    <w:p>
      <w:pPr>
        <w:spacing w:after="240" w:line="240" w:lineRule="auto"/>
        <w:jc w:val="both"/>
        <w:rPr>
          <w:rFonts w:ascii="Times New Roman" w:eastAsia="Times New Roman" w:hAnsi="Times New Roman" w:cs="Times New Roman"/>
          <w:sz w:val="24"/>
          <w:szCs w:val="24"/>
        </w:rPr>
      </w:pPr>
      <w:r>
        <w:rPr>
          <w:rFonts w:ascii="Calibri Light" w:eastAsia="Calibri Light" w:hAnsi="Calibri Light" w:cs="Calibri Light"/>
          <w:color w:val="000000"/>
          <w:sz w:val="24"/>
          <w:szCs w:val="24"/>
          <w:lang w:val="en-US" w:eastAsia="en-US"/>
        </w:rPr>
        <w:t xml:space="preserve">As a low middle-income country in a fragile regional environment, the socio-political instability of the country which can result from the regional security situation, the insurgent attacks from BH and the internal political situation in the Anglophone zone, can be considered a major risk. On top of this situation is the global economic situation in the CEMAC zone. The country is organizing general elections in 2018 and hosting the African nations football cup competition in 2019. </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color w:val="000000"/>
          <w:sz w:val="24"/>
          <w:szCs w:val="24"/>
          <w:lang w:val="en-US" w:eastAsia="en-US"/>
        </w:rPr>
        <w:t>This situation may reduce the investments of the government in the social sector and impact the overall financing of the country’s development including a reduction in government’s contribution and technical assistance to UNWOMEN.</w:t>
      </w:r>
    </w:p>
    <w:p>
      <w:pPr>
        <w:spacing w:before="240" w:after="240" w:line="240" w:lineRule="auto"/>
        <w:jc w:val="both"/>
        <w:rPr>
          <w:rFonts w:ascii="Times New Roman" w:eastAsia="Times New Roman" w:hAnsi="Times New Roman" w:cs="Times New Roman"/>
          <w:sz w:val="24"/>
          <w:szCs w:val="24"/>
        </w:rPr>
      </w:pPr>
      <w:r>
        <w:rPr>
          <w:rFonts w:ascii="Calibri Light" w:eastAsia="Calibri Light" w:hAnsi="Calibri Light" w:cs="Calibri Light"/>
          <w:color w:val="000000"/>
          <w:sz w:val="24"/>
          <w:szCs w:val="24"/>
          <w:lang w:val="en-US" w:eastAsia="en-US"/>
        </w:rPr>
        <w:t> </w:t>
      </w:r>
      <w:r>
        <w:rPr>
          <w:rFonts w:ascii="Calibri Light" w:eastAsia="Calibri Light" w:hAnsi="Calibri Light" w:cs="Calibri Light"/>
          <w:color w:val="000000"/>
          <w:sz w:val="24"/>
          <w:szCs w:val="24"/>
          <w:lang w:val="en-US" w:eastAsia="en-US"/>
        </w:rPr>
        <w:t>To mitigate this risk, the country office will work with the regional office and HQ for resource mobilization, especially with the private sector and by lateral donors. As a “delivery as one” country, resource mobilization will also be done through joint programming with other UN agencies in the UNDAF framework.</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pict>
          <v:shape id="_x0000_s1033" type="#_x0000_t75" alt="Title: Cameroon CO AWP_2018_Risk_Register.xlsx" style="width:40pt;height:40pt;margin-top:0;margin-left:0;mso-position-vertical:bottom;position:absolute;z-index:-251649024" o:oleicon="t">
            <v:imagedata r:id="rId12" o:title=""/>
          </v:shape>
          <o:OLEObject Type="Embed" ProgID="Package" ShapeID="_x0000_s1033" DrawAspect="Icon" ObjectID="_8" r:id="rId18"/>
        </w:pict>
      </w:r>
    </w:p>
    <w:p w:rsidR="00C07D60" w:rsidP="00527AD0">
      <w:pPr>
        <w:jc w:val="left"/>
        <w:rPr>
          <w:b/>
          <w:sz w:val="24"/>
          <w:u w:val="single"/>
        </w:rPr>
      </w:pPr>
    </w:p>
    <w:p w:rsidR="00C07D60" w:rsidP="00527AD0">
      <w:pPr>
        <w:jc w:val="left"/>
        <w:rPr>
          <w:b w:val="0"/>
          <w:sz w:val="24"/>
          <w:u w:val="none"/>
        </w:rPr>
      </w:pPr>
      <w:r>
        <w:rPr>
          <w:b w:val="0"/>
          <w:sz w:val="24"/>
          <w:u w:val="none"/>
        </w:rPr>
        <w:t>Cameroon CO AWP_2018_Risk_Register.xlsx</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r>
        <w:rPr>
          <w:b/>
          <w:sz w:val="24"/>
          <w:u w:val="single"/>
        </w:rPr>
        <w:t>10. Sustainability :</w:t>
      </w:r>
    </w:p>
    <w:p w:rsidR="00C07D60" w:rsidP="00527AD0">
      <w:pPr>
        <w:jc w:val="left"/>
        <w:rPr>
          <w:b/>
          <w:sz w:val="24"/>
          <w:u w:val="single"/>
        </w:rPr>
      </w:pPr>
    </w:p>
    <w:p w:rsidR="00C07D60" w:rsidP="00527AD0">
      <w:pPr>
        <w:jc w:val="left"/>
        <w:rPr>
          <w:b/>
          <w:sz w:val="24"/>
          <w:u w:val="single"/>
        </w:rPr>
      </w:pPr>
    </w:p>
    <w:p w:rsidR="00C07D60" w:rsidP="00527AD0">
      <w:pPr>
        <w:jc w:val="left"/>
        <w:rPr>
          <w:b/>
          <w:sz w:val="24"/>
          <w:u w:val="single"/>
        </w:rPr>
      </w:pPr>
    </w:p>
    <w:sectPr>
      <w:pgSz w:w="14800" w:h="14860"/>
      <w:pgMar w:top="1208" w:right="1820" w:bottom="1208" w:left="18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pStyle w:val="FootnoteText"/>
      </w:pPr>
    </w:p>
  </w:footnote>
  <w:footnote w:id="1">
    <w:p>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upperRoman"/>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81"/>
  <w:drawingGridVerticalSpacing w:val="18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C79"/>
    <w:rsid w:val="001B6783"/>
    <w:rsid w:val="0028089B"/>
    <w:rsid w:val="00440CF8"/>
    <w:rsid w:val="00527AD0"/>
    <w:rsid w:val="005D51BE"/>
    <w:rsid w:val="00717011"/>
    <w:rsid w:val="00B75C79"/>
    <w:rsid w:val="00C07D60"/>
  </w:rsids>
  <m:mathPr>
    <m:mathFont m:val="Cambria Math"/>
  </m:mathPr>
  <w:themeFontLang w:val="en-IN"/>
  <w:clrSchemeMapping w:bg1="light1" w:t1="dark1" w:bg2="light2" w:t2="dark2" w:accent1="accent1" w:accent2="accent2" w:accent3="accent3" w:accent4="accent4" w:accent5="accent5" w:accent6="accent6" w:hyperlink="hyperlink" w:followedHyperlink="followedHyperlink"/>
  <w15:docId w15:val="{57A72ACC-0C4E-4899-A157-C8DA9D8B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uiPriority w:val="99"/>
    <w:rsid w:val="000F3DF7"/>
    <w:pPr>
      <w:spacing w:after="0" w:line="240" w:lineRule="auto"/>
    </w:pPr>
    <w:rPr>
      <w:sz w:val="20"/>
      <w:szCs w:val="20"/>
    </w:rPr>
  </w:style>
  <w:style w:type="character" w:customStyle="1" w:styleId="FootnoteTextChar">
    <w:name w:val="Footnote Text Char"/>
    <w:basedOn w:val="DefaultParagraphFont"/>
    <w:link w:val="FootnoteText"/>
    <w:uiPriority w:val="99"/>
    <w:rsid w:val="000F3DF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oleObject" Target="embeddings/oleObject2.bin" /><Relationship Id="rId11" Type="http://schemas.openxmlformats.org/officeDocument/2006/relationships/oleObject" Target="embeddings/oleObject3.bin" /><Relationship Id="rId12" Type="http://schemas.openxmlformats.org/officeDocument/2006/relationships/image" Target="media/image4.png" /><Relationship Id="rId13" Type="http://schemas.openxmlformats.org/officeDocument/2006/relationships/oleObject" Target="embeddings/oleObject4.bin" /><Relationship Id="rId14" Type="http://schemas.openxmlformats.org/officeDocument/2006/relationships/oleObject" Target="embeddings/oleObject5.bin" /><Relationship Id="rId15" Type="http://schemas.openxmlformats.org/officeDocument/2006/relationships/oleObject" Target="embeddings/oleObject6.bin" /><Relationship Id="rId16" Type="http://schemas.openxmlformats.org/officeDocument/2006/relationships/oleObject" Target="embeddings/oleObject7.bin" /><Relationship Id="rId17" Type="http://schemas.openxmlformats.org/officeDocument/2006/relationships/oleObject" Target="embeddings/oleObject8.bin" /><Relationship Id="rId18" Type="http://schemas.openxmlformats.org/officeDocument/2006/relationships/oleObject" Target="embeddings/oleObject9.bin"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image" Target="media/image3.png" /><Relationship Id="rId9" Type="http://schemas.openxmlformats.org/officeDocument/2006/relationships/oleObject" Target="embeddings/oleObject1.bin"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D6846-5C24-4063-A4A5-0D7BACE62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76</Words>
  <Characters>437</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Manish Birendra Rawat</cp:lastModifiedBy>
  <cp:revision>6</cp:revision>
  <dcterms:created xsi:type="dcterms:W3CDTF">2018-10-02T10:37:00Z</dcterms:created>
  <dcterms:modified xsi:type="dcterms:W3CDTF">2018-10-02T15:07:00Z</dcterms:modified>
</cp:coreProperties>
</file>