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4 -->
  <w:body>
    <w:p w:rsidR="00B75C79">
      <w:r>
        <w:rPr>
          <w:noProof/>
        </w:rPr>
        <w:drawing>
          <wp:anchor distT="0" distB="0" distL="114300" distR="114300" simplePos="0" relativeHeight="251658240" behindDoc="1" locked="0" layoutInCell="1" allowOverlap="1">
            <wp:simplePos x="0" y="0"/>
            <wp:positionH relativeFrom="column">
              <wp:posOffset>5981700</wp:posOffset>
            </wp:positionH>
            <wp:positionV relativeFrom="paragraph">
              <wp:posOffset>153670</wp:posOffset>
            </wp:positionV>
            <wp:extent cx="1599565" cy="475615"/>
            <wp:effectExtent l="0" t="0" r="63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397897" name="New Bitmap Image.jpg"/>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599565" cy="475615"/>
                    </a:xfrm>
                    <a:prstGeom prst="rect">
                      <a:avLst/>
                    </a:prstGeom>
                  </pic:spPr>
                </pic:pic>
              </a:graphicData>
            </a:graphic>
          </wp:anchor>
        </w:drawing>
      </w:r>
      <w:r w:rsidR="00717011">
        <w:rPr>
          <w:noProof/>
        </w:rPr>
        <w:drawing>
          <wp:inline distT="0" distB="0" distL="0" distR="0">
            <wp:extent cx="1275000" cy="75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785028" name="New Bitmap Image.jpg"/>
                    <pic:cNvPicPr/>
                  </pic:nvPicPr>
                  <pic:blipFill>
                    <a:blip xmlns:r="http://schemas.openxmlformats.org/officeDocument/2006/relationships" r:embed="rId7" cstate="print"/>
                    <a:stretch>
                      <a:fillRect/>
                    </a:stretch>
                  </pic:blipFill>
                  <pic:spPr>
                    <a:xfrm>
                      <a:off x="0" y="0"/>
                      <a:ext cx="2550000" cy="1500000"/>
                    </a:xfrm>
                    <a:prstGeom prst="rect">
                      <a:avLst/>
                    </a:prstGeom>
                  </pic:spPr>
                </pic:pic>
              </a:graphicData>
            </a:graphic>
          </wp:inline>
        </w:drawing>
      </w:r>
    </w:p>
    <w:p w:rsidR="00B75C79">
      <w:pPr>
        <w:jc w:val="center"/>
      </w:pPr>
      <w:r>
        <w:br/>
      </w:r>
      <w:r>
        <w:rPr>
          <w:rFonts w:ascii="Calibri" w:hAnsi="Calibri"/>
          <w:sz w:val="56"/>
        </w:rPr>
        <w:t xml:space="preserve">UN Women Strategic Note </w:t>
      </w:r>
      <w:r w:rsidR="00C07D60">
        <w:rPr>
          <w:rFonts w:ascii="Calibri" w:hAnsi="Calibri"/>
          <w:noProof/>
          <w:sz w:val="56"/>
        </w:rPr>
        <w:t>2014</w:t>
      </w:r>
      <w:r>
        <w:rPr>
          <w:rFonts w:ascii="Calibri" w:hAnsi="Calibri"/>
          <w:sz w:val="56"/>
        </w:rPr>
        <w:t>-</w:t>
      </w:r>
      <w:r w:rsidR="00C07D60">
        <w:rPr>
          <w:rFonts w:ascii="Calibri" w:hAnsi="Calibri"/>
          <w:noProof/>
          <w:sz w:val="56"/>
        </w:rPr>
        <w:t>2018</w:t>
      </w:r>
    </w:p>
    <w:p w:rsidR="00B75C79">
      <w:pPr>
        <w:jc w:val="center"/>
      </w:pPr>
      <w:r>
        <w:rPr>
          <w:rFonts w:ascii="Calibri" w:hAnsi="Calibri"/>
          <w:b/>
          <w:caps/>
          <w:color w:val="0099CC"/>
          <w:sz w:val="32"/>
        </w:rPr>
        <w:t xml:space="preserve">UN WOMEN </w:t>
      </w:r>
      <w:r w:rsidR="00C07D60">
        <w:rPr>
          <w:rFonts w:ascii="Calibri" w:hAnsi="Calibri"/>
          <w:b/>
          <w:noProof/>
          <w:color w:val="0099CC"/>
          <w:sz w:val="32"/>
        </w:rPr>
        <w:t>MYANMAR</w:t>
      </w:r>
      <w:r>
        <w:rPr>
          <w:rFonts w:ascii="Calibri" w:hAnsi="Calibri"/>
          <w:b/>
          <w:caps/>
          <w:color w:val="0099CC"/>
          <w:sz w:val="32"/>
        </w:rPr>
        <w:t xml:space="preserve"> </w:t>
      </w:r>
      <w:r w:rsidR="00527AD0">
        <w:rPr>
          <w:rFonts w:ascii="Calibri" w:hAnsi="Calibri"/>
          <w:b/>
          <w:noProof/>
          <w:color w:val="0099CC"/>
          <w:sz w:val="32"/>
        </w:rPr>
        <w:t>COUNTRY</w:t>
      </w:r>
      <w:r>
        <w:rPr>
          <w:rFonts w:ascii="Calibri" w:hAnsi="Calibri"/>
          <w:b/>
          <w:caps/>
          <w:color w:val="0099CC"/>
          <w:sz w:val="32"/>
        </w:rPr>
        <w:t xml:space="preserve"> OFFICE</w:t>
      </w:r>
    </w:p>
    <w:p w:rsidR="00B75C79">
      <w:pPr>
        <w:jc w:val="center"/>
      </w:pPr>
      <w:r>
        <w:rPr>
          <w:rFonts w:ascii="Calibri" w:hAnsi="Calibri"/>
          <w:b/>
          <w:color w:val="0099CC"/>
          <w:sz w:val="32"/>
        </w:rPr>
        <w:t xml:space="preserve">SN REPORT </w:t>
      </w:r>
      <w:r w:rsidR="00527AD0">
        <w:rPr>
          <w:rFonts w:ascii="Calibri" w:hAnsi="Calibri"/>
          <w:b/>
          <w:noProof/>
          <w:color w:val="0099CC"/>
          <w:sz w:val="32"/>
        </w:rPr>
        <w:t>2018</w:t>
      </w:r>
    </w:p>
    <w:p w:rsidR="00B75C79" w:rsidP="00527AD0">
      <w:pPr>
        <w:jc w:val="center"/>
        <w:rPr>
          <w:rFonts w:ascii="Calibri" w:hAnsi="Calibri"/>
          <w:color w:val="C00000"/>
          <w:sz w:val="28"/>
        </w:rPr>
      </w:pPr>
      <w:r>
        <w:br/>
      </w:r>
      <w:r>
        <w:br/>
      </w:r>
      <w:r>
        <w:br/>
      </w:r>
      <w:r>
        <w:br/>
      </w:r>
      <w:r w:rsidR="005D51BE">
        <w:rPr>
          <w:rFonts w:ascii="Calibri" w:hAnsi="Calibri"/>
          <w:b/>
          <w:noProof/>
          <w:color w:val="0099CC"/>
          <w:sz w:val="32"/>
        </w:rPr>
        <w:t>Narrative</w:t>
      </w:r>
      <w:r>
        <w:br/>
      </w:r>
      <w:r>
        <w:br/>
      </w:r>
      <w:r>
        <w:br/>
      </w:r>
      <w:r>
        <w:br/>
      </w:r>
      <w:r>
        <w:br/>
      </w:r>
      <w:r>
        <w:br/>
      </w:r>
      <w:r>
        <w:br/>
      </w:r>
      <w:r>
        <w:br/>
      </w:r>
      <w:r>
        <w:br/>
      </w:r>
      <w:r>
        <w:br/>
      </w:r>
      <w:r>
        <w:br/>
      </w:r>
      <w:r>
        <w:br/>
      </w:r>
      <w:r>
        <w:br/>
      </w:r>
      <w:r>
        <w:br/>
      </w:r>
      <w:r>
        <w:br/>
      </w:r>
      <w:r>
        <w:br/>
      </w:r>
      <w:r>
        <w:br/>
      </w:r>
      <w:r>
        <w:br/>
      </w:r>
      <w:r>
        <w:rPr>
          <w:rFonts w:ascii="Calibri" w:hAnsi="Calibri"/>
          <w:color w:val="C00000"/>
          <w:sz w:val="28"/>
        </w:rPr>
        <w:t xml:space="preserve">Report Date: </w:t>
      </w:r>
      <w:r w:rsidR="00527AD0">
        <w:rPr>
          <w:rFonts w:ascii="Calibri" w:hAnsi="Calibri"/>
          <w:noProof/>
          <w:color w:val="C00000"/>
          <w:sz w:val="28"/>
        </w:rPr>
        <w:t>6/5</w:t>
      </w:r>
      <w:r w:rsidR="00527AD0">
        <w:rPr>
          <w:rFonts w:ascii="Calibri" w:hAnsi="Calibri"/>
          <w:noProof/>
          <w:color w:val="C00000"/>
          <w:sz w:val="28"/>
        </w:rPr>
        <w:t>/2020</w:t>
      </w:r>
    </w:p>
    <w:p w:rsidR="00C07D60" w:rsidP="00527AD0">
      <w:pPr>
        <w:jc w:val="left"/>
        <w:rPr>
          <w:b/>
          <w:sz w:val="24"/>
          <w:u w:val="single"/>
        </w:rPr>
      </w:pPr>
      <w:r>
        <w:br w:type="page"/>
      </w:r>
    </w:p>
    <w:p w:rsidR="00C07D60" w:rsidP="00527AD0">
      <w:pPr>
        <w:jc w:val="left"/>
        <w:rPr>
          <w:b/>
          <w:sz w:val="24"/>
          <w:u w:val="single"/>
        </w:rPr>
      </w:pPr>
      <w:r>
        <w:rPr>
          <w:b/>
          <w:sz w:val="24"/>
          <w:u w:val="single"/>
        </w:rPr>
        <w:t>1. Context and Situation Analysis: :</w:t>
      </w:r>
    </w:p>
    <w:p>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Contextual Change and Risks Identified for 2018</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1"/>
          <w:szCs w:val="21"/>
        </w:rPr>
        <w:t>Myanmar’s a triple reform process including rule of law and democratic governance, national reconciliation and peace and economic reform has like</w:t>
      </w:r>
      <w:r>
        <w:rPr>
          <w:rFonts w:ascii="Times New Roman" w:eastAsia="Times New Roman" w:hAnsi="Times New Roman" w:cs="Times New Roman"/>
          <w:sz w:val="21"/>
          <w:szCs w:val="21"/>
          <w:shd w:val="clear" w:color="auto" w:fill="F5F5F5"/>
        </w:rPr>
        <w:t xml:space="preserve"> any country in transition been extremely mixed. </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1"/>
          <w:szCs w:val="21"/>
          <w:shd w:val="clear" w:color="auto" w:fill="F5F5F5"/>
        </w:rPr>
        <w:t xml:space="preserve">The democratic transition is not complete. The relatively free &amp; fair national elections led to the landslide victory of the National League for Democracy, that won 79% of the seats overall. </w:t>
      </w:r>
      <w:r>
        <w:rPr>
          <w:rFonts w:ascii="Times New Roman" w:eastAsia="Times New Roman" w:hAnsi="Times New Roman" w:cs="Times New Roman"/>
          <w:sz w:val="21"/>
          <w:szCs w:val="21"/>
        </w:rPr>
        <w:t>H</w:t>
      </w:r>
      <w:r>
        <w:rPr>
          <w:rFonts w:ascii="Times New Roman" w:eastAsia="Times New Roman" w:hAnsi="Times New Roman" w:cs="Times New Roman"/>
          <w:sz w:val="21"/>
          <w:szCs w:val="21"/>
          <w:shd w:val="clear" w:color="auto" w:fill="F5F5F5"/>
        </w:rPr>
        <w:t xml:space="preserve">owever, there are systemic constitutionally enshrined impediments to democracy as the military still retain 25% of reserved seats at all levels of Parliament, appoint the Ministers of Defence, Home Affairs and Border Control, and are beyond the reach of a civilian government. There are what is described by many as “dual governance structures” that are in tension with each other. The proportion of seats women occupy in Parliament increased from 4.6% under the previous government to </w:t>
      </w:r>
      <w:r>
        <w:rPr>
          <w:rFonts w:ascii="Times New Roman" w:eastAsia="Times New Roman" w:hAnsi="Times New Roman" w:cs="Times New Roman"/>
          <w:sz w:val="21"/>
          <w:szCs w:val="21"/>
        </w:rPr>
        <w:t>13% of elected seats of both Houses of Parliament, and in States and regions and 10% of all seats in States and regions. Women tend to be concentrated at the mid &amp; lower levels of the executive. An encouraging trend is that some parties, the NLD in particular is as policy increasing seats for women in the 2020 elections.</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1"/>
          <w:szCs w:val="21"/>
          <w:shd w:val="clear" w:color="auto" w:fill="F5F5F5"/>
        </w:rPr>
        <w:t xml:space="preserve">Despite 2 large National Peace Conferences  with 700 delegates at each, conflict keeps erupting in Shan, Kayin states, in Rakhine States between the ethnic armed organizations (EAOs) and the military, with civilian casualties and displacement. There is tension between the 8 signatories to the Nationwide ceasefire Agreement (NCA) and the non-signatories. The Northern Alliance, a group of 7 EAOs who had not signed are contesting the NCA and want it renegotiated. Although consensus has been reached on 37 principles governing a federal Union in Myanmar, military insistence on the use of the 2008 Constitution is contested with the ethnic groups wanting a new constitution with their rights well embedded therein. Secession, creation of a Federal Army with significant ethnic representation at all levels and refusal of Ethnic groups to demobilize and demilitarize are other contested issues. The 2017 Panglong saw increaseed representation of women to 17% from 13% in 2016, although women continue to be marginalized from decision-making roles and their priorities need to be better addressed in thematic deliberations. </w:t>
      </w:r>
    </w:p>
    <w:p>
      <w:pPr>
        <w:spacing w:before="240" w:after="24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1"/>
          <w:szCs w:val="21"/>
          <w:shd w:val="clear" w:color="auto" w:fill="FBFBFB"/>
          <w:lang w:val="en-GB" w:eastAsia="en-GB"/>
        </w:rPr>
        <w:t>All forms of violence against women in the public and private sphere are widespread in Myanmar. DHS data 2015-16 for Myanmar says that m</w:t>
      </w:r>
      <w:r>
        <w:rPr>
          <w:rFonts w:ascii="Times New Roman" w:eastAsia="Times New Roman" w:hAnsi="Times New Roman" w:cs="Times New Roman"/>
          <w:sz w:val="21"/>
          <w:szCs w:val="21"/>
        </w:rPr>
        <w:t>ore than one-fifth of ever-married women (21%) have experienced spousal physical, sexual, or emotional violence. Fifty-one percent of women and 49% of men believe that a husband is justified in beating his wife in at least one of five specified situations.</w:t>
      </w:r>
      <w:r>
        <w:rPr>
          <w:rFonts w:ascii="Times New Roman" w:eastAsia="Times New Roman" w:hAnsi="Times New Roman" w:cs="Times New Roman"/>
          <w:sz w:val="21"/>
          <w:szCs w:val="21"/>
          <w:shd w:val="clear" w:color="auto" w:fill="FBFBFB"/>
        </w:rPr>
        <w:t xml:space="preserve"> </w:t>
      </w:r>
      <w:r>
        <w:rPr>
          <w:rFonts w:ascii="Times New Roman" w:eastAsia="Times New Roman" w:hAnsi="Times New Roman" w:cs="Times New Roman"/>
          <w:sz w:val="21"/>
          <w:szCs w:val="21"/>
          <w:shd w:val="clear" w:color="auto" w:fill="FBFBFB"/>
          <w:lang w:val="en-GB" w:eastAsia="en-GB"/>
        </w:rPr>
        <w:t>3% of women experience sexual violence. Decades of conflict, authoritarian and military rule; a dysfunctional and unaccountable security sector, including human rights abuses committed by State actors; the absence of an independent justice sector; a lack of access to security and justice for the population; absence of civil society involvement in security sector governance; and discriminatory cultural attitudes lie at the heart of this violence.</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1"/>
          <w:szCs w:val="21"/>
          <w:shd w:val="clear" w:color="auto" w:fill="F5F5F5"/>
        </w:rPr>
        <w:t xml:space="preserve">Myanmar’s economic reforms led to some immediate gains reflecting increases in economic growth and foreign direct investment, diversified investments &amp; some employment generation, with economists projecting a growth of 8.3% for 2017 </w:t>
      </w:r>
      <w:r>
        <w:rPr>
          <w:rFonts w:ascii="Calibri" w:eastAsia="Calibri" w:hAnsi="Calibri" w:cs="Calibri"/>
          <w:color w:val="0000EE"/>
          <w:sz w:val="21"/>
          <w:szCs w:val="21"/>
          <w:u w:val="single" w:color="0000EE"/>
          <w:shd w:val="clear" w:color="auto" w:fill="F5F5F5"/>
        </w:rPr>
        <w:t>[1]</w:t>
      </w:r>
      <w:r>
        <w:rPr>
          <w:rStyle w:val="FootnoteReference"/>
        </w:rPr>
        <w:footnoteReference w:id="0"/>
      </w:r>
      <w:r>
        <w:rPr>
          <w:rFonts w:ascii="Times New Roman" w:eastAsia="Times New Roman" w:hAnsi="Times New Roman" w:cs="Times New Roman"/>
          <w:sz w:val="21"/>
          <w:szCs w:val="21"/>
          <w:shd w:val="clear" w:color="auto" w:fill="F5F5F5"/>
        </w:rPr>
        <w:t>. However these figures are national averages that obfuscate economic inequalities based on geographical location, economic status, race, religion, ethnicity, and gender. So too the transport, energy and banking infrastructure needs further development. According to the Census 2014, t</w:t>
      </w:r>
      <w:r>
        <w:rPr>
          <w:rFonts w:ascii="Times New Roman" w:eastAsia="Times New Roman" w:hAnsi="Times New Roman" w:cs="Times New Roman"/>
          <w:sz w:val="21"/>
          <w:szCs w:val="21"/>
        </w:rPr>
        <w:t xml:space="preserve">he labor force participation rate for persons aged 15–64 is 67% (85% for men and 51% for women) &amp; the employment-to-population ratio for persons aged 15–64 is 64.4% (82% for men ; 48% for women). Women are more concentrated in the unprotected informal sector at 52%, earn lower wages than men for work of the same value and bear the sole responsibility of unpaid care work. </w:t>
      </w:r>
      <w:r>
        <w:rPr>
          <w:rFonts w:ascii="Times New Roman" w:eastAsia="Times New Roman" w:hAnsi="Times New Roman" w:cs="Times New Roman"/>
          <w:sz w:val="21"/>
          <w:szCs w:val="21"/>
          <w:shd w:val="clear" w:color="auto" w:fill="F5F5F5"/>
        </w:rPr>
        <w:t>Further, while there are no accurate data, land confiscations are reportedly increasing, particularly to clear areas for infrastructure projects, natural resource exploitation, and Special Economic Zones in Yangon, Dawei and Kyaukpaw.</w:t>
      </w:r>
      <w:r>
        <w:rPr>
          <w:rFonts w:ascii="Calibri" w:eastAsia="Calibri" w:hAnsi="Calibri" w:cs="Calibri"/>
          <w:color w:val="0000EE"/>
          <w:sz w:val="21"/>
          <w:szCs w:val="21"/>
          <w:u w:val="single" w:color="0000EE"/>
          <w:shd w:val="clear" w:color="auto" w:fill="F5F5F5"/>
        </w:rPr>
        <w:t>[2]</w:t>
      </w:r>
      <w:r>
        <w:rPr>
          <w:rStyle w:val="FootnoteReference"/>
        </w:rPr>
        <w:footnoteReference w:id="1"/>
      </w:r>
      <w:r>
        <w:rPr>
          <w:rFonts w:ascii="Times New Roman" w:eastAsia="Times New Roman" w:hAnsi="Times New Roman" w:cs="Times New Roman"/>
          <w:sz w:val="21"/>
          <w:szCs w:val="21"/>
          <w:shd w:val="clear" w:color="auto" w:fill="F5F5F5"/>
        </w:rPr>
        <w:t xml:space="preserve"> Forced evictions and displacement of small farmers are reported to have negatively impacted housing, health, education, livelihoods and security of person</w:t>
      </w:r>
      <w:r>
        <w:rPr>
          <w:rFonts w:ascii="Calibri" w:eastAsia="Calibri" w:hAnsi="Calibri" w:cs="Calibri"/>
          <w:color w:val="0000EE"/>
          <w:sz w:val="21"/>
          <w:szCs w:val="21"/>
          <w:u w:val="single" w:color="0000EE"/>
          <w:shd w:val="clear" w:color="auto" w:fill="F5F5F5"/>
        </w:rPr>
        <w:t>[3]</w:t>
      </w:r>
      <w:r>
        <w:rPr>
          <w:rStyle w:val="FootnoteReference"/>
        </w:rPr>
        <w:footnoteReference w:id="2"/>
      </w:r>
      <w:r>
        <w:rPr>
          <w:rFonts w:ascii="Times New Roman" w:eastAsia="Times New Roman" w:hAnsi="Times New Roman" w:cs="Times New Roman"/>
          <w:sz w:val="21"/>
          <w:szCs w:val="21"/>
          <w:shd w:val="clear" w:color="auto" w:fill="F5F5F5"/>
        </w:rPr>
        <w:t>, and women are playing an important role in anti-land grab movements. Poverty, conflict and natural disasters have been drivers of international and internal labor migration, or have caused displacement, including of masses of women.</w:t>
      </w:r>
    </w:p>
    <w:p>
      <w:pPr>
        <w:shd w:val="clear" w:color="auto" w:fill="F5F5F5"/>
        <w:spacing w:before="0" w:after="150" w:line="240" w:lineRule="auto"/>
        <w:ind w:left="0" w:right="0"/>
        <w:jc w:val="both"/>
        <w:rPr>
          <w:rFonts w:ascii="Times New Roman" w:eastAsia="Times New Roman" w:hAnsi="Times New Roman" w:cs="Times New Roman"/>
          <w:sz w:val="24"/>
          <w:szCs w:val="24"/>
        </w:rPr>
      </w:pPr>
      <w:r>
        <w:rPr>
          <w:rFonts w:ascii="Calibri" w:eastAsia="Calibri" w:hAnsi="Calibri" w:cs="Calibri"/>
          <w:sz w:val="21"/>
          <w:szCs w:val="21"/>
        </w:rPr>
        <w:t xml:space="preserve">Of pervasive concern has been the institutionalized discrimination against Muslims in Northern Rakhine and the widespread violence against them, although Rakhine Buddhists also suffer great socio-economic deprivation. Some progress was made by establishing the Rakhine Advisory Commission headed by former Secretary General Kofi Anan to explore the situation in Rakhine and provide recommendations for action in 2016. </w:t>
      </w:r>
      <w:r>
        <w:rPr>
          <w:rFonts w:ascii="Calibri" w:eastAsia="Calibri" w:hAnsi="Calibri" w:cs="Calibri"/>
          <w:sz w:val="21"/>
          <w:szCs w:val="21"/>
          <w:shd w:val="clear" w:color="auto" w:fill="FFFFFF"/>
        </w:rPr>
        <w:t>On the 25</w:t>
      </w:r>
      <w:r>
        <w:rPr>
          <w:rFonts w:ascii="Calibri" w:eastAsia="Calibri" w:hAnsi="Calibri" w:cs="Calibri"/>
          <w:sz w:val="26"/>
          <w:szCs w:val="26"/>
          <w:shd w:val="clear" w:color="auto" w:fill="FFFFFF"/>
          <w:vertAlign w:val="superscript"/>
        </w:rPr>
        <w:t>th</w:t>
      </w:r>
      <w:r>
        <w:rPr>
          <w:rFonts w:ascii="Calibri" w:eastAsia="Calibri" w:hAnsi="Calibri" w:cs="Calibri"/>
          <w:sz w:val="21"/>
          <w:szCs w:val="21"/>
          <w:shd w:val="clear" w:color="auto" w:fill="FFFFFF"/>
        </w:rPr>
        <w:t> August, 2017, the final report was released report making a range of short, medium and long term recommendations which include immediate birth registration for all children, including in IDP camps regardless of parental citizenship status, removal on mobility restrictions, resettlement of IDPs, citizenship verification and provision of citizenship rights, access to education, health and livelihoods for all people, investment in socio-economic development in Rakhine. On the 25</w:t>
      </w:r>
      <w:r>
        <w:rPr>
          <w:rFonts w:ascii="Calibri" w:eastAsia="Calibri" w:hAnsi="Calibri" w:cs="Calibri"/>
          <w:sz w:val="26"/>
          <w:szCs w:val="26"/>
          <w:shd w:val="clear" w:color="auto" w:fill="FFFFFF"/>
          <w:vertAlign w:val="superscript"/>
        </w:rPr>
        <w:t>th</w:t>
      </w:r>
      <w:r>
        <w:rPr>
          <w:rFonts w:ascii="Calibri" w:eastAsia="Calibri" w:hAnsi="Calibri" w:cs="Calibri"/>
          <w:sz w:val="21"/>
          <w:szCs w:val="21"/>
          <w:shd w:val="clear" w:color="auto" w:fill="FFFFFF"/>
        </w:rPr>
        <w:t xml:space="preserve"> August 2017, insurgents who self-identified as members of the Arakan Rohingya Salvation Army (ARSA), alongside many Muslim villagers in Northern Rakhine State (NRS), attacked security forces in multiple locations killing 12 security personnel. A military offensive targeting Rohingya Muslims resulted in </w:t>
      </w:r>
      <w:r>
        <w:rPr>
          <w:rFonts w:ascii="Calibri" w:eastAsia="Calibri" w:hAnsi="Calibri" w:cs="Calibri"/>
          <w:sz w:val="21"/>
          <w:szCs w:val="21"/>
        </w:rPr>
        <w:t xml:space="preserve">at least 500,000 Muslims from Northern Rakhine fleeing their homes and seeking safety in Cox’s Bazar in Bangladesh. OCHA estimates that this might be about 700,000 in Bangladesh as a whole. According to Myanmar authorities at least 176 of 471 Muslim villages in northern Rakhine had been totally abandoned. It is reported that serious violations of human rights, include torching of homes, land, indiscriminate firing of weapons, intimidation, the use of landmines against civilians and sexual violence. </w:t>
      </w:r>
    </w:p>
    <w:p>
      <w:pPr>
        <w:shd w:val="clear" w:color="auto" w:fill="F5F5F5"/>
        <w:spacing w:before="0" w:after="150" w:line="240" w:lineRule="auto"/>
        <w:ind w:left="0" w:right="0"/>
        <w:jc w:val="both"/>
        <w:rPr>
          <w:rFonts w:ascii="Times New Roman" w:eastAsia="Times New Roman" w:hAnsi="Times New Roman" w:cs="Times New Roman"/>
          <w:sz w:val="24"/>
          <w:szCs w:val="24"/>
        </w:rPr>
      </w:pPr>
      <w:r>
        <w:rPr>
          <w:rFonts w:ascii="Calibri" w:eastAsia="Calibri" w:hAnsi="Calibri" w:cs="Calibri"/>
          <w:sz w:val="21"/>
          <w:szCs w:val="21"/>
        </w:rPr>
        <w:t>The Rakhine tragedy, described as the worst humanitarian crisis in recent times obliterates many of Myanmar’s reform gains. It heralds the prospect of further violence, further cross-border movement which is already happening, including from Central Rakhine. The tragedy demonstrates institutionalized discrimination, cultural prejudice and hate speech, amounting to incitement to hostility; is accompanied by a strong anti-international sentiments, denigration of human rights, a reiteration of the principle of national sovereignty and shrinking space for the UN. While some individual agencies such as FAO (food security/agriculture assessment), UN Habitat (resettlement), WFP (food distribution) and UNHCR (training on safe, voluntary, sustainable return) have been approached, except for UNHCR there is lack of clarity on what, how, when things will be done and cautions about not compromising human rights principles or system-wide work. This is already negatively impacting the peace process and development. During September and October, the peace process lost some momentum as many key decision-makers focused much of their time on the Rakhine crisis and peace talks happened between the government and only 2 EAOs. It has slowed down tourist arrivals and raised scepticism among investors. It will impact UN Women’s program delivery, as access not just to Rakhine but other more stable areas like Mon State are also being restricted, and permissions to commence projects with the security sector such as gender just police stations in Mon State have been put on hold, as is with other agencies.</w:t>
      </w:r>
    </w:p>
    <w:p>
      <w:pPr>
        <w:shd w:val="clear" w:color="auto" w:fill="F5F5F5"/>
        <w:spacing w:before="0" w:after="150" w:line="240" w:lineRule="auto"/>
        <w:ind w:left="0" w:right="0"/>
        <w:jc w:val="both"/>
        <w:rPr>
          <w:rFonts w:ascii="Times New Roman" w:eastAsia="Times New Roman" w:hAnsi="Times New Roman" w:cs="Times New Roman"/>
          <w:sz w:val="24"/>
          <w:szCs w:val="24"/>
        </w:rPr>
      </w:pPr>
      <w:r>
        <w:rPr>
          <w:rFonts w:ascii="Calibri" w:eastAsia="Calibri" w:hAnsi="Calibri" w:cs="Calibri"/>
          <w:sz w:val="21"/>
          <w:szCs w:val="21"/>
        </w:rPr>
        <w:t>Finally while there is a widespread view that gender equality and women’s rights is not a problem in Myanmar, the National Strategic Plan for the Advancement of Women (2012-22), CEDAW, SDGs and the key policies provide real windows of opportunity to advance a gender agenda, in what seems a bleak situation.</w:t>
      </w:r>
    </w:p>
    <w:p>
      <w:pPr>
        <w:shd w:val="clear" w:color="auto" w:fill="F5F5F5"/>
        <w:spacing w:before="0" w:after="150" w:line="240" w:lineRule="auto"/>
        <w:ind w:left="0" w:right="0"/>
        <w:jc w:val="both"/>
        <w:rPr>
          <w:rFonts w:ascii="Times New Roman" w:eastAsia="Times New Roman" w:hAnsi="Times New Roman" w:cs="Times New Roman"/>
          <w:sz w:val="24"/>
          <w:szCs w:val="24"/>
        </w:rPr>
      </w:pPr>
      <w:r>
        <w:rPr>
          <w:rFonts w:ascii="Arial" w:eastAsia="Arial" w:hAnsi="Arial" w:cs="Arial"/>
          <w:color w:val="666666"/>
          <w:sz w:val="21"/>
          <w:szCs w:val="21"/>
        </w:rPr>
        <w:t> </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1"/>
          <w:szCs w:val="21"/>
        </w:rPr>
        <w:t> </w:t>
      </w:r>
    </w:p>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
          <w:szCs w:val="2"/>
        </w:rPr>
        <w:br w:type="textWrapping" w:clear="all"/>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"file:///C:/Users/Jean.Dcunha/Desktop/UN%20Operations/AWP%20Cover%20Note%202018%20doc1.docx" \l "_ftnref1" </w:instrText>
      </w:r>
      <w:r>
        <w:rPr>
          <w:rFonts w:ascii="Times New Roman" w:eastAsia="Times New Roman" w:hAnsi="Times New Roman" w:cs="Times New Roman"/>
          <w:sz w:val="24"/>
          <w:szCs w:val="24"/>
        </w:rPr>
        <w:fldChar w:fldCharType="separate"/>
      </w:r>
      <w:bookmarkStart w:id="0" w:name="_ftn1"/>
      <w:r>
        <w:rPr>
          <w:rFonts w:ascii="Calibri" w:eastAsia="Calibri" w:hAnsi="Calibri" w:cs="Calibri"/>
          <w:color w:val="0000EE"/>
          <w:sz w:val="20"/>
          <w:szCs w:val="20"/>
          <w:u w:val="single" w:color="0000EE"/>
        </w:rPr>
        <w:t>[1]</w:t>
      </w:r>
      <w:r>
        <w:rPr>
          <w:rFonts w:ascii="Calibri" w:eastAsia="Calibri" w:hAnsi="Calibri" w:cs="Calibri"/>
          <w:color w:val="0000EE"/>
          <w:sz w:val="20"/>
          <w:szCs w:val="20"/>
          <w:u w:val="single" w:color="0000EE"/>
        </w:rPr>
        <w:fldChar w:fldCharType="end"/>
      </w:r>
      <w:bookmarkEnd w:id="0"/>
      <w:r>
        <w:rPr>
          <w:rFonts w:ascii="Times New Roman" w:eastAsia="Times New Roman" w:hAnsi="Times New Roman" w:cs="Times New Roman"/>
          <w:sz w:val="24"/>
          <w:szCs w:val="24"/>
        </w:rPr>
        <w:t xml:space="preserve"> The World Bank Group; 2013; Myanmar Economic Monitor.</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"file:///C:/Users/Jean.Dcunha/Desktop/UN%20Operations/AWP%20Cover%20Note%202018%20doc1.docx" \l "_ftnref2" </w:instrText>
      </w:r>
      <w:r>
        <w:rPr>
          <w:rFonts w:ascii="Times New Roman" w:eastAsia="Times New Roman" w:hAnsi="Times New Roman" w:cs="Times New Roman"/>
          <w:sz w:val="24"/>
          <w:szCs w:val="24"/>
        </w:rPr>
        <w:fldChar w:fldCharType="separate"/>
      </w:r>
      <w:bookmarkStart w:id="1" w:name="_ftn2"/>
      <w:r>
        <w:rPr>
          <w:rFonts w:ascii="Calibri" w:eastAsia="Calibri" w:hAnsi="Calibri" w:cs="Calibri"/>
          <w:color w:val="0000EE"/>
          <w:sz w:val="20"/>
          <w:szCs w:val="20"/>
          <w:u w:val="single" w:color="0000EE"/>
        </w:rPr>
        <w:t>[2]</w:t>
      </w:r>
      <w:r>
        <w:rPr>
          <w:rFonts w:ascii="Calibri" w:eastAsia="Calibri" w:hAnsi="Calibri" w:cs="Calibri"/>
          <w:color w:val="0000EE"/>
          <w:sz w:val="20"/>
          <w:szCs w:val="20"/>
          <w:u w:val="single" w:color="0000EE"/>
        </w:rPr>
        <w:fldChar w:fldCharType="end"/>
      </w:r>
      <w:bookmarkEnd w:id="1"/>
      <w:r>
        <w:rPr>
          <w:rFonts w:ascii="Times New Roman" w:eastAsia="Times New Roman" w:hAnsi="Times New Roman" w:cs="Times New Roman"/>
          <w:sz w:val="24"/>
          <w:szCs w:val="24"/>
        </w:rPr>
        <w:t xml:space="preserve"> </w:t>
      </w:r>
      <w:r>
        <w:rPr>
          <w:rFonts w:ascii="Times New Roman" w:eastAsia="Times New Roman" w:hAnsi="Times New Roman" w:cs="Times New Roman"/>
          <w:sz w:val="16"/>
          <w:szCs w:val="16"/>
        </w:rPr>
        <w:t>Report of the Special Rapporteur on the Situation of Human Rights in Myanmar, Tomas Ojea Quintana, 6 March, 2013; A/HRC/22/58. p.8.</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30"/>
          <w:szCs w:val="30"/>
          <w:vertAlign w:val="subscript"/>
        </w:rPr>
        <w:t xml:space="preserve">3 </w:t>
      </w:r>
      <w:r>
        <w:rPr>
          <w:rFonts w:ascii="Times New Roman" w:eastAsia="Times New Roman" w:hAnsi="Times New Roman" w:cs="Times New Roman"/>
          <w:sz w:val="24"/>
          <w:szCs w:val="24"/>
          <w:vertAlign w:val="subscript"/>
        </w:rPr>
        <w:t>Report of the Special Rapporteur on the Situation of Human Rights in Myanmar, Tomas Ojea Quintana, 12 March, 2014; A/HRC/25/64. p.8</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2. Lessons learned: :</w:t>
      </w:r>
    </w:p>
    <w:p>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1"/>
          <w:szCs w:val="21"/>
        </w:rPr>
        <w:t>Progress reports for 2015 on the UN Women, Myanmar Project: Women at the Core of Myanmar’s Peace Process (2015-16) funded by the Peace Support Fund, Myanmar show the following: (1) that the UN has a comparative advantage in contributing to bringing women’s peace and security issues into the core of mainstream peace processes, given the lack of trust between government and civil society; (2) that gender equality and women’s rights issues in peace must be linked and mainstreamed across peace, development and humanitarian agendas given the synergies between the three; (3) Given a strong military culture in Myanmar, where little space is provided for women at the peace table, the UN’s comparative advantage lies in supporting CSOs, engaging in diplomatic advocacy and using high profile external actors to ensure at least 30% representation at the peace table to fast track the inclusion of women and their priorities in all aspects of Myanmar’s peace process; (4) Given that decision-makers in the peace process are men, investment in working with government, the military, parliamentarians needs to be continued and expanded and a platform for dialogue between women’s groups and government needs to be forged. (5) Myanmar’s peace process has been fluid and bumpy, and most strategic actors have been involved in negotiations in one way or another. Alternate/back up partners are needed where possible to avoid delays.; (6) Showcasing results innovatively, systematic dissemination of knowledge products and monitoring their impact was important.</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1"/>
          <w:szCs w:val="21"/>
        </w:rPr>
        <w:t> </w:t>
      </w:r>
      <w:r>
        <w:rPr>
          <w:rFonts w:ascii="Times New Roman" w:eastAsia="Times New Roman" w:hAnsi="Times New Roman" w:cs="Times New Roman"/>
          <w:sz w:val="21"/>
          <w:szCs w:val="21"/>
        </w:rPr>
        <w:t>The Preliminary Notes of the Final Evaluation in April 2016,of the UN Women Project: Empowerment of Mon Women through participation in peacebuilding and prevention of and response to gender-based violence, funded by the Peace building Fund in Dec 2013 shows that in the short time frame (2015-March 2016), UN Women, Myanmar was able to demonstrate key outputs related to capacity building on women, peace and security, brokering linkages and trust building between government and civil society partners, garnering political will to develop gender action plans, catalyzing some very practical changes on GBV. Capacity building however needs to hone in to what we mean by peace and peace building, as partners had very different notions. Project achievements set the ground for longer term engagement. Peace projects need to be framed and monies mobilized for longer periods. These 6 Southeast Projects (6 projects implemented by 6 different agencies) co-ordinated by the RCO, with UN Women as one implementing agency, needed to have been framed with stronger synergies, results frameworks in the first instance and gender mainstreamed into all of them.</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1"/>
          <w:szCs w:val="21"/>
        </w:rPr>
        <w:t>Finally, assessments of UN Women Myanmar’s co-ordination work by the UN Women Regional Director Asia and the Pacific through a process of consultation with UN agencies and other stakeholders showed that although the Gender Theme Group had been re-established and was among the only 2 functioning theme groups and that it functioned well and had delivered strategic results. A key driver of this success was dedicated human and financial resources that provided both technical leadership and co-ordination functions.</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3. Proposed Programme :</w:t>
      </w:r>
    </w:p>
    <w:p>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pPr>
        <w:spacing w:before="240" w:after="24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Alignment with SP 2018-2021, Key areas of Programmatic Focus and Expected Development Results  for 2018</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This contextual background informs UN Women Myanmar’s work for 2018. Under the overall chapeau of gender responsive governance, peace, humanitarian action and development, UN Women Myanmar will in 2018 build on and implement in 2 areas : (a) Sustainable peace and humanitarian action; and a closely related area (b) Women and Girls live a life free from Violence, but will also build a portfolio of work in the area of women’s</w:t>
      </w:r>
      <w:r>
        <w:rPr>
          <w:rFonts w:ascii="Times New Roman" w:eastAsia="Times New Roman" w:hAnsi="Times New Roman" w:cs="Times New Roman"/>
          <w:b/>
          <w:bCs/>
          <w:sz w:val="24"/>
          <w:szCs w:val="24"/>
          <w:u w:val="single"/>
        </w:rPr>
        <w:t xml:space="preserve"> </w:t>
      </w:r>
      <w:r>
        <w:rPr>
          <w:rFonts w:ascii="Times New Roman" w:eastAsia="Times New Roman" w:hAnsi="Times New Roman" w:cs="Times New Roman"/>
          <w:b/>
          <w:bCs/>
          <w:sz w:val="20"/>
          <w:szCs w:val="20"/>
          <w:u w:val="single"/>
        </w:rPr>
        <w:t>political participation and</w:t>
      </w:r>
      <w:r>
        <w:rPr>
          <w:rFonts w:ascii="Times New Roman" w:eastAsia="Times New Roman" w:hAnsi="Times New Roman" w:cs="Times New Roman"/>
          <w:b/>
          <w:bCs/>
          <w:sz w:val="24"/>
          <w:szCs w:val="24"/>
          <w:u w:val="single"/>
        </w:rPr>
        <w:t xml:space="preserve"> </w:t>
      </w:r>
      <w:r>
        <w:rPr>
          <w:rFonts w:ascii="Times New Roman" w:eastAsia="Times New Roman" w:hAnsi="Times New Roman" w:cs="Times New Roman"/>
          <w:b/>
          <w:bCs/>
          <w:sz w:val="20"/>
          <w:szCs w:val="20"/>
          <w:u w:val="single"/>
        </w:rPr>
        <w:t xml:space="preserve">income security, decent work, and economic autonomy. Program documents have been developed and submitted to donors on women’s energy entrepreneurship (EU); are being developed for interested donors on women’s increased access to productive assets in agriculture (Canada, Denmark, USAID), and being discussed as Joint Program on political participation with UNDP for Canada.   </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A consolidated theory of change covering these areas is as follows: If (1) women are capacitated, resourced, skilled, and organized to benefit from and contribute towards adoption and implementation of gender responsive policies and programs on peace/governance, socio-economic development in Rakhine, energy and access to land and security in SE Myanmar; If (2) capacities of duty bearers in policy and institutional environments (related to peace/governance, socio-economic development in Rakhine, in the energy, agriculture and governance and security sectors) is enhanced to include women in decision-making in these sectors and address their priorities therein; then (3) women are empowered, influence policy development and implementation in these sectors, access resources and benefits  and contribute to peace, community resilience, socio-economic development, and security  because (4) barriers to women’s leadership and participation in these sectors and to addressing their priorities therein will be addressed and women and their families/communities will be able to benefit from and enjoy the dividends accruing from peace and security, good governance socio-economic development, access to economic resources and decent jobs</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UN Women Myanmar’s Programming will (a) forge coherence and links between Peace, Humanitarian Assistance and Development. For example, peace process work focused on Panglong National Peace Dialogues aimed at mainstreaming gender into a long term peace agreement, builds in longer term gender responsive peace building agenda on federalism, women’s leadership, security sector reform, women’s access to land into peace dialogues but also works with sectoral ministries on SSR, women’s access to land rights, energy entrepreneurship using development entry points. UN Women’s work on humanitarian action is innovative in so far as it is positioned to address the development-humanitarian divide – the so-called root cause issues of economic deprivation, need for social mobilization and social norm change; (b) strengthen Women’s leadership, influence and ability to access resources material and non material resources across all program areas; (c) strengthen policy and institutional environments across these sectors to deliver better and more sustainably on a gender agenda; (d) develop cutting edge knowledge and tools to support this; (e) broker diverse stakeholder links within and across policy fields</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 xml:space="preserve">Peace: </w:t>
      </w:r>
      <w:r>
        <w:rPr>
          <w:rFonts w:ascii="Times New Roman" w:eastAsia="Times New Roman" w:hAnsi="Times New Roman" w:cs="Times New Roman"/>
          <w:b/>
          <w:bCs/>
          <w:sz w:val="20"/>
          <w:szCs w:val="20"/>
          <w:u w:val="single"/>
        </w:rPr>
        <w:t>UN Women’s work on peace is aligned with SP Impact 4 and Outcome 5 Women and Girls contribute to and have greater influence in building sustainable peace and resilience and benefit equally from the prevention of natural disasters and conflicts and from humanitarian action</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 xml:space="preserve">UN Women Myanmar will build on its strategic results of 2015 and 2016  in a niche area that it has claimed a space in -  mainstreaming gender into Myanmar’s watershed policies for peace from a baseline of 0, building the capacity of and contributing to greater receptivity of duty bearers to include their priorities in all aspects of the peace process; contributing to building a cohort of capacitated women peace activists; and contributing to laying the ground to mainstreaming gender into national and local planning processes. </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In 2018, it will contribute to ensuring that more commitments on WPS are implemented and more gender equality advocates influence peace and security processes:</w:t>
      </w:r>
      <w:r>
        <w:rPr>
          <w:rFonts w:ascii="Times New Roman" w:eastAsia="Times New Roman" w:hAnsi="Times New Roman" w:cs="Times New Roman"/>
          <w:b/>
          <w:bCs/>
          <w:sz w:val="20"/>
          <w:szCs w:val="20"/>
          <w:u w:val="single"/>
        </w:rPr>
        <w:t xml:space="preserve"> (a) Influential women’s representation from key stakeholder groups in all aspects of the peace process; (b) Women’s priorities are included in and implemented on gender and federalism, land rights, SSR and CCM – core peace &amp; development issues; (c) National and local planning processes include influential women and women’s priorities; (d). Knowledge products and capacity building for women and key stakeholder groups contribute to the above.</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Expanding on its production of “first ever knowledge products” for Myanmar such as Gender and the Constitution, Federalism and the Nationwide Ceasefire Agreement, UN Women, Myanmar will in 2018</w:t>
      </w:r>
      <w:r>
        <w:rPr>
          <w:rFonts w:ascii="Times New Roman" w:eastAsia="Times New Roman" w:hAnsi="Times New Roman" w:cs="Times New Roman"/>
          <w:b/>
          <w:bCs/>
          <w:sz w:val="20"/>
          <w:szCs w:val="20"/>
          <w:u w:val="single"/>
        </w:rPr>
        <w:t xml:space="preserve"> </w:t>
      </w:r>
      <w:r>
        <w:rPr>
          <w:rFonts w:ascii="Times New Roman" w:eastAsia="Times New Roman" w:hAnsi="Times New Roman" w:cs="Times New Roman"/>
          <w:b/>
          <w:bCs/>
          <w:sz w:val="20"/>
          <w:szCs w:val="20"/>
          <w:u w:val="single"/>
        </w:rPr>
        <w:t xml:space="preserve">produce knowledge and tools on gender and civilian ceasefire monitoring, gender and conflict sensitive guidelines for the media. In terms of program implementation, it will break new ground by building a cohort of capacitated actors at the peace table and mainstreaming gender perspectives into “crux of the peace debate issues” such as federalism; support the governments of Mon State (and later Kayah and Kayin to develop the first ever women, peace and development plan at State levels and is co-leading with AGIPP the largest WPS network to mainstream WPS priorities for the first time ever into the National Strategic Plan for the Advancement of Women (2012-22). These planning proceses have a full GRB component built into them. </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 xml:space="preserve">Violence against Women Live a Life Free from Violence: </w:t>
      </w:r>
      <w:r>
        <w:rPr>
          <w:rFonts w:ascii="Times New Roman" w:eastAsia="Times New Roman" w:hAnsi="Times New Roman" w:cs="Times New Roman"/>
          <w:b/>
          <w:bCs/>
          <w:sz w:val="20"/>
          <w:szCs w:val="20"/>
          <w:u w:val="single"/>
        </w:rPr>
        <w:t xml:space="preserve">UN Women’s work on violence is aligned with SP Impact 3 and Outcome 4: All women and girls live a life free from violence </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UN Women Myanmar will build on its joint work with civil society groups to develop a CEDAW compliant EVAW law in Myanmar, which is critical in the face of an outdated Penal Code. In 2018, UN Women will ensure that EVAW Laws, policies and strategies are adopted and implemented in line with international standards and informed by voices of women survivors of violence to prevent and respond to VAWG</w:t>
      </w:r>
      <w:r>
        <w:rPr>
          <w:rFonts w:ascii="Times New Roman" w:eastAsia="Times New Roman" w:hAnsi="Times New Roman" w:cs="Times New Roman"/>
          <w:b/>
          <w:bCs/>
          <w:sz w:val="24"/>
          <w:szCs w:val="24"/>
          <w:u w:val="single"/>
        </w:rPr>
        <w:t>. More specifically the office will ensure that (a) CEDAW compliant EVAW law adopted; (b) Services costing and M and E tools are developed through consultations with government and civil society; (c) links between communities &amp; police forged and guidelines in place for gender just police stations</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 xml:space="preserve">Humanitarian Assistance: Through a Joint Program with UNDP, UN Women seeks to ensure that more women play a greater role and are better served by humanitarian response and recovery efforts. </w:t>
      </w:r>
      <w:r>
        <w:rPr>
          <w:rFonts w:ascii="Times New Roman" w:eastAsia="Times New Roman" w:hAnsi="Times New Roman" w:cs="Times New Roman"/>
          <w:b/>
          <w:bCs/>
          <w:sz w:val="20"/>
          <w:szCs w:val="20"/>
          <w:u w:val="single"/>
        </w:rPr>
        <w:t>(a) In Rakhine, women’s capacities are built to access livelihood opportunities; to participate in &amp; influence gender responsive policies and programs on socio-economic development, and other decision-making; (b) Knowledge resources on WEE gender responsive policies, programs and its positive impact on community resilience/well being produced, available</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 xml:space="preserve">Gender and Energy Entrepreneurship and Access to Productive Resources in Agriculture: </w:t>
      </w:r>
      <w:r>
        <w:rPr>
          <w:rFonts w:ascii="Times New Roman" w:eastAsia="Times New Roman" w:hAnsi="Times New Roman" w:cs="Times New Roman"/>
          <w:b/>
          <w:bCs/>
          <w:sz w:val="20"/>
          <w:szCs w:val="20"/>
          <w:u w:val="single"/>
        </w:rPr>
        <w:t xml:space="preserve">Proposals submitted ensure that Gender is mainstreamed into energy and agriculture policies, laws, planning processes; that women’s entrepreneurship access to and use of productive resources in agriculture is enhanced through capacity building and social mobilizing on business development, markets, financial literacy; capacities of policy makers and institutional actors built to enhance women’s entrepreneurship and access to productive assets in agriculture; knowledge products will be produced/available to support the above </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 xml:space="preserve">Women’s Leadership and Political Participation: </w:t>
      </w:r>
      <w:r>
        <w:rPr>
          <w:rFonts w:ascii="Times New Roman" w:eastAsia="Times New Roman" w:hAnsi="Times New Roman" w:cs="Times New Roman"/>
          <w:b/>
          <w:bCs/>
          <w:sz w:val="20"/>
          <w:szCs w:val="20"/>
          <w:u w:val="single"/>
        </w:rPr>
        <w:t>Discussions are underway for proposal submission to Canada on women’s political participation focused on promoting women in leadership positions through capacity building for women and political parties, awareness raising for communities and legal reform</w:t>
      </w:r>
    </w:p>
    <w:p>
      <w:pPr>
        <w:spacing w:before="240" w:after="24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Key Normative Priorities for 2018</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UN Women Myanmar will continue to synergize and address CEDAW, BPFA, UNSCR 1325 and related Resolutions, and the SDGs as mutually reinforcing mechanisms in terms of principles, standards and provisions underpinning our work; data generation and use in and across these processes, including during CEDAW review processes and data collected for Secretary General’s reports; use of customized SDG targets and indicators; use of CEDAW and UPR comments in planning and programming processes.</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Most specifically UN Women Myanmar will in 2018 focus on operationalizing the fore-mentioned normative agenda through the following: (a) Technical Support to mainstreaming WPS priorities into NSPAW 2012-22 (co-leading cluster); (b) Technical Support to mainstreaming EVAW priorities into NSPAW 2012-22; (c) Technical Support to mainstreaming leadership priorities and WEE into NSPAW 2012-22; (d) Technical support to GM into WPD plans in 3 States (lead and first ever). These planning processes will have a GRB component.</w:t>
      </w:r>
    </w:p>
    <w:p>
      <w:pPr>
        <w:spacing w:before="240" w:after="24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0"/>
          <w:szCs w:val="20"/>
          <w:u w:val="single"/>
        </w:rPr>
        <w:t> </w:t>
      </w:r>
    </w:p>
    <w:p>
      <w:pPr>
        <w:spacing w:after="0" w:line="257" w:lineRule="auto"/>
        <w:rPr>
          <w:rFonts w:ascii="Calibri" w:eastAsia="Calibri" w:hAnsi="Calibri" w:cs="Calibri"/>
          <w:b/>
          <w:bCs/>
          <w:sz w:val="24"/>
          <w:szCs w:val="24"/>
          <w:u w:val="single"/>
        </w:rPr>
      </w:pPr>
      <w:r>
        <w:rPr>
          <w:rFonts w:ascii="Calibri" w:eastAsia="Calibri" w:hAnsi="Calibri" w:cs="Calibri"/>
          <w:b/>
          <w:bCs/>
          <w:sz w:val="24"/>
          <w:szCs w:val="24"/>
          <w:u w:val="single"/>
        </w:rPr>
        <w:br/>
      </w:r>
    </w:p>
    <w:p w:rsidR="00C07D60">
      <w:pPr>
        <w:spacing w:after="0" w:line="257" w:lineRule="auto"/>
        <w:rPr>
          <w:b/>
          <w:sz w:val="24"/>
          <w:u w:val="single"/>
        </w:rPr>
      </w:pPr>
    </w:p>
    <w:p w:rsidR="00C07D60">
      <w:pPr>
        <w:spacing w:after="0" w:line="257" w:lineRule="auto"/>
        <w:jc w:val="left"/>
        <w:rPr>
          <w:b/>
          <w:sz w:val="24"/>
          <w:u w:val="single"/>
        </w:rPr>
      </w:pPr>
    </w:p>
    <w:p w:rsidR="00C07D60">
      <w:pPr>
        <w:spacing w:after="0" w:line="257" w:lineRule="auto"/>
        <w:jc w:val="left"/>
        <w:rPr>
          <w:b/>
          <w:sz w:val="24"/>
          <w:u w:val="single"/>
        </w:rPr>
      </w:pPr>
      <w:r>
        <w:rPr>
          <w:b/>
          <w:sz w:val="24"/>
          <w:u w:val="single"/>
        </w:rPr>
        <w:t>4. Management and Operations :</w:t>
      </w:r>
    </w:p>
    <w:p>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1"/>
          <w:szCs w:val="21"/>
        </w:rPr>
        <w:t>UN Women Myanmar is a programming presence established in November 2015 and is exactly 2 years old. A key management priority is to ensure sustainable growth of the office through resource mobilization for large multi-year programs. UN Women’s cost recovery policy will be implemented to the maximum for each source of funding to bear its proportionate share of operation, program management and communications support costs. The office will ensure that in 2018 all new projects will have direct program management costs included.</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1"/>
          <w:szCs w:val="21"/>
        </w:rPr>
        <w:t>There were two new national staff recruitments in June and September 2017, and 2 additional recruitments on WPS funded by Norway in the near future. Staff will receive advanced and basic training on Procurement, Finance, HR, Atlas, Budgets, filing (underway); knowledge of operations procedures Finance, Procurement, Atlas, Budget, HR, Filing and Audit will continue to be deepened through participation in RO/HQ organized webinars, on line mandatory UNDSS/UNW trainings, peer to peer mentoring, self study of POM. Given the recent changes in corporate policy, selection of implementing partners will be closely supervised. Close guidance on managing donor reporting will also be provided.</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1"/>
          <w:szCs w:val="21"/>
        </w:rPr>
        <w:t>Current realization of timely use of on &amp; offline planning, reporting, program/budget monitoring tools, greater efficiency in procurement processes and delivery rates will be further stepped up.</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1"/>
          <w:szCs w:val="21"/>
        </w:rPr>
        <w:t>UN Women will participate in SMT actively and explore further opportunities for cost saving collaborations on operations.</w:t>
      </w:r>
    </w:p>
    <w:p>
      <w:pPr>
        <w:spacing w:before="240" w:after="240" w:line="240" w:lineRule="auto"/>
        <w:rPr>
          <w:rFonts w:ascii="Times New Roman" w:eastAsia="Times New Roman" w:hAnsi="Times New Roman" w:cs="Times New Roman"/>
          <w:sz w:val="24"/>
          <w:szCs w:val="24"/>
        </w:rPr>
      </w:pPr>
    </w:p>
    <w:p w:rsidR="00C07D60">
      <w:pPr>
        <w:spacing w:after="0" w:line="257" w:lineRule="auto"/>
        <w:jc w:val="left"/>
        <w:rPr>
          <w:b/>
          <w:sz w:val="24"/>
          <w:u w:val="single"/>
        </w:rPr>
      </w:pPr>
    </w:p>
    <w:p w:rsidR="00C07D60">
      <w:pPr>
        <w:spacing w:after="0" w:line="257" w:lineRule="auto"/>
        <w:jc w:val="left"/>
        <w:rPr>
          <w:b/>
          <w:sz w:val="24"/>
          <w:u w:val="single"/>
        </w:rPr>
      </w:pPr>
    </w:p>
    <w:p w:rsidR="00C07D60">
      <w:pPr>
        <w:spacing w:after="0" w:line="257" w:lineRule="auto"/>
        <w:jc w:val="left"/>
        <w:rPr>
          <w:b/>
          <w:sz w:val="24"/>
          <w:u w:val="single"/>
        </w:rPr>
      </w:pPr>
    </w:p>
    <w:p w:rsidR="00C07D60">
      <w:pPr>
        <w:spacing w:after="0" w:line="257" w:lineRule="auto"/>
        <w:jc w:val="left"/>
        <w:rPr>
          <w:b/>
          <w:sz w:val="24"/>
          <w:u w:val="single"/>
        </w:rPr>
      </w:pPr>
      <w:r>
        <w:rPr>
          <w:b/>
          <w:sz w:val="24"/>
          <w:u w:val="single"/>
        </w:rPr>
        <w:t>5. Monitoring, Research, Evaluation, Knowledge management and Innovation :</w:t>
      </w:r>
    </w:p>
    <w:p>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Women, Myanmar will continue to produce high quality first ever innovative research in Myanmar as it has in the past two years (gender and federalism, constitution, nationwide ceasefire agreements). Planned research pieces and tools include: gender and civilian ceasefire monitoring in Myanmar, gender and conflict sensitive media guidelines, as   produce research pieces related to peace, as well as work in Rakhine and gender and energy focusing on situation assessments and policy reviews </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capacity building initiatives will have a rapid needs assessment and a questionnaire on knowledge of subject and perceptions prior to the intervention and difference made after the intervention. This will constitute both the baseline and the measure of a certain set of outputs related to capacity building. Each event/activity will have a report with outputs that contribute to the quarterly progress report. Staff monitoring trips, telephone and skype meetings with partners that will be minuted will also form part of the monitoring package. Quarterly progress reports and a final report progress report (narrative/financial) will be provided to donors. Where the project is 1 million or above, a final evaluation will be conducted. </w:t>
      </w:r>
      <w:r>
        <w:rPr>
          <w:rFonts w:ascii="Calibri" w:eastAsia="Calibri" w:hAnsi="Calibri" w:cs="Calibri"/>
          <w:sz w:val="21"/>
          <w:szCs w:val="21"/>
        </w:rPr>
        <w:t>UN Women Myanmar will also be evaluated on the PS program Phase 2 although this is USD 600,000 and build learnings from evaluations into future programming. </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currently no joint monitoring mechanism within the UNCT on gender. The UNDAF process will only be rolled out in 2019.</w:t>
      </w:r>
    </w:p>
    <w:p>
      <w:pPr>
        <w:spacing w:before="240" w:after="240" w:line="240" w:lineRule="auto"/>
        <w:jc w:val="both"/>
        <w:rPr>
          <w:rFonts w:ascii="Times New Roman" w:eastAsia="Times New Roman" w:hAnsi="Times New Roman" w:cs="Times New Roman"/>
          <w:sz w:val="24"/>
          <w:szCs w:val="24"/>
        </w:rPr>
      </w:pPr>
      <w:r>
        <w:rPr>
          <w:rFonts w:ascii="Calibri" w:eastAsia="Calibri" w:hAnsi="Calibri" w:cs="Calibri"/>
          <w:sz w:val="21"/>
          <w:szCs w:val="21"/>
        </w:rPr>
        <w:t>UN Women Myanmar will expand innovation and technology to expand reach of advocacy, capacity strengthening, featuring of good practice and invest in IEC expertize for the same. In addition to regular monitoring of programs and quality donor reports, it will innovatively capture stories, personal experiences of impact and showcase these in the annual reports and evaluations. </w:t>
      </w:r>
    </w:p>
    <w:p w:rsidR="00C07D60">
      <w:pPr>
        <w:spacing w:after="0" w:line="257" w:lineRule="auto"/>
        <w:jc w:val="left"/>
        <w:rPr>
          <w:b/>
          <w:sz w:val="24"/>
          <w:u w:val="single"/>
        </w:rPr>
      </w:pPr>
    </w:p>
    <w:p w:rsidR="00C07D60">
      <w:pPr>
        <w:spacing w:after="0" w:line="257" w:lineRule="auto"/>
        <w:jc w:val="left"/>
        <w:rPr>
          <w:b/>
          <w:sz w:val="24"/>
          <w:u w:val="single"/>
        </w:rPr>
      </w:pPr>
    </w:p>
    <w:p w:rsidR="00C07D60">
      <w:pPr>
        <w:spacing w:after="0" w:line="257" w:lineRule="auto"/>
        <w:jc w:val="left"/>
        <w:rPr>
          <w:b/>
          <w:sz w:val="24"/>
          <w:u w:val="single"/>
        </w:rPr>
      </w:pPr>
    </w:p>
    <w:p w:rsidR="00C07D60">
      <w:pPr>
        <w:spacing w:after="0" w:line="257" w:lineRule="auto"/>
        <w:jc w:val="left"/>
        <w:rPr>
          <w:b/>
          <w:sz w:val="24"/>
          <w:u w:val="single"/>
        </w:rPr>
      </w:pPr>
      <w:r>
        <w:rPr>
          <w:b/>
          <w:sz w:val="24"/>
          <w:u w:val="single"/>
        </w:rPr>
        <w:t>6. Partnerships and Coordination :</w:t>
      </w:r>
    </w:p>
    <w:p>
      <w:pPr>
        <w:spacing w:after="240" w:line="240" w:lineRule="auto"/>
        <w:jc w:val="both"/>
        <w:rPr>
          <w:rFonts w:ascii="Times New Roman" w:eastAsia="Times New Roman" w:hAnsi="Times New Roman" w:cs="Times New Roman"/>
          <w:sz w:val="24"/>
          <w:szCs w:val="24"/>
        </w:rPr>
      </w:pP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1"/>
          <w:szCs w:val="21"/>
        </w:rPr>
        <w:t>UN Women’s Partnerships in Myanmar include partnerships for advocacy, capacity strengthening, dialogue, brokering links for impact, funding, profile and visibility to UN Women. Partnerships will be strategic in that they have numbers reach, influence and decision-making ability, a particular constituency that UN Women wants to embrace, serve as technical resource to government that internationals have no direct access to, funding or other in-kind resources. They include national, international and newer non-traditional partners, at the highest/senior levels of decision-making and mass base as this provides different entry and pressure points and different audiences.</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1"/>
          <w:szCs w:val="21"/>
        </w:rPr>
        <w:t xml:space="preserve">At national and subnational levels these would include: (a) Key decision-makers: Union Peace Commission/NRPC, Ministries of Planning and Finance, Labor, Energy, Social Welfare, Agriculture, Parliamentarians; (b) Mass constituency of women: Largest women’s networks: AGIPP, GEN, their networks/individual constituents at local levels; (c) broader constituency beyond women: EAOs, political parties, private sector, media, faith based groups, men/boys, </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1"/>
          <w:szCs w:val="21"/>
        </w:rPr>
        <w:t>UN Women, Myanma</w:t>
      </w:r>
      <w:r>
        <w:rPr>
          <w:rFonts w:ascii="Calibri" w:eastAsia="Calibri" w:hAnsi="Calibri" w:cs="Calibri"/>
          <w:sz w:val="21"/>
          <w:szCs w:val="21"/>
        </w:rPr>
        <w:t>will also engage with International partners (a) INGOs (DIPD, Hans Seidel, Care, Plan, Oxfam, PACT, Development Resources International); (b) UN: UN Women will continue to co-chair the UNGTG and ensure that gender is well embedded in the final UNDAF. UNGTG, Joint programs with UNDP on Rakhine and on Governance; with FAO on Gender and Agriculture; with UNFPA on EVAW; and programmatic activities on migration with ILO and UNHCR; (c) donors: Paung Sie Facility and Norway (WPS); Japan (Humanitarian Assistance/COmmunity resilience building); EU/GIZ EnDev (potentially Gender and Energy); LIFT, Denmark, USAID, Canada, DFID (potentially gender and agriculture); Canada (verbal commitment political participation); Finland (discussions underway on funding for technical support to NSPAW).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1"/>
          <w:szCs w:val="21"/>
        </w:rPr>
        <w:t>We envisage 10 partnership agreements in the form of PCAs, MOUs and CSAs: 3 NGOs, 3 UN, 4 donors</w:t>
      </w:r>
    </w:p>
    <w:p>
      <w:pPr>
        <w:spacing w:before="240" w:after="240" w:line="240" w:lineRule="auto"/>
        <w:jc w:val="both"/>
        <w:rPr>
          <w:rFonts w:ascii="Times New Roman" w:eastAsia="Times New Roman" w:hAnsi="Times New Roman" w:cs="Times New Roman"/>
          <w:b/>
          <w:bCs/>
          <w:sz w:val="24"/>
          <w:szCs w:val="24"/>
          <w:u w:val="single"/>
        </w:rPr>
      </w:pPr>
    </w:p>
    <w:p w:rsidR="00C07D60">
      <w:pPr>
        <w:spacing w:after="0" w:line="257" w:lineRule="auto"/>
        <w:jc w:val="left"/>
        <w:rPr>
          <w:b/>
          <w:sz w:val="24"/>
          <w:u w:val="single"/>
        </w:rPr>
      </w:pPr>
    </w:p>
    <w:p w:rsidR="00C07D60">
      <w:pPr>
        <w:spacing w:after="0" w:line="257" w:lineRule="auto"/>
        <w:jc w:val="left"/>
        <w:rPr>
          <w:b/>
          <w:sz w:val="24"/>
          <w:u w:val="single"/>
        </w:rPr>
      </w:pPr>
    </w:p>
    <w:p w:rsidR="00C07D60">
      <w:pPr>
        <w:spacing w:after="0" w:line="257" w:lineRule="auto"/>
        <w:jc w:val="left"/>
        <w:rPr>
          <w:b/>
          <w:sz w:val="24"/>
          <w:u w:val="single"/>
        </w:rPr>
      </w:pPr>
    </w:p>
    <w:p w:rsidR="00C07D60">
      <w:pPr>
        <w:spacing w:after="0" w:line="257" w:lineRule="auto"/>
        <w:jc w:val="left"/>
        <w:rPr>
          <w:b/>
          <w:sz w:val="24"/>
          <w:u w:val="single"/>
        </w:rPr>
      </w:pPr>
      <w:r>
        <w:rPr>
          <w:b/>
          <w:sz w:val="24"/>
          <w:u w:val="single"/>
        </w:rPr>
        <w:t>7. Resource Mobilization Strategy :</w:t>
      </w:r>
    </w:p>
    <w:p>
      <w:pPr>
        <w:bidi w:val="0"/>
        <w:spacing w:before="240" w:after="0" w:line="240" w:lineRule="auto"/>
        <w:ind w:left="547" w:hanging="547"/>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The total target revenue for January-December 2018: USD 3.7 million. </w:t>
      </w:r>
    </w:p>
    <w:p>
      <w:pPr>
        <w:bidi w:val="0"/>
        <w:spacing w:before="240" w:after="0" w:line="240" w:lineRule="auto"/>
        <w:ind w:left="547" w:hanging="547"/>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The amount Funded as of 18 dec 2017: </w:t>
      </w:r>
    </w:p>
    <w:p>
      <w:pPr>
        <w:bidi w:val="0"/>
        <w:spacing w:before="240" w:after="0" w:line="240" w:lineRule="auto"/>
        <w:ind w:left="547" w:hanging="547"/>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DRF</w:t>
      </w:r>
    </w:p>
    <w:p>
      <w:pPr>
        <w:bidi w:val="0"/>
        <w:spacing w:before="240" w:after="0"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Available : Non Core : USD 1,340703: </w:t>
      </w:r>
    </w:p>
    <w:p>
      <w:pPr>
        <w:bidi w:val="0"/>
        <w:spacing w:before="240" w:after="0"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Available Core: 15,798: </w:t>
      </w:r>
    </w:p>
    <w:p>
      <w:pPr>
        <w:bidi w:val="0"/>
        <w:spacing w:before="240" w:after="0"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0"/>
          <w:szCs w:val="20"/>
        </w:rPr>
        <w:t>Core resources requested: USD 10,000 for FTA GS staff, USD 20,000  for GENCAP Humanitarian DRF</w:t>
      </w:r>
    </w:p>
    <w:p>
      <w:pPr>
        <w:bidi w:val="0"/>
        <w:spacing w:before="240" w:after="0"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0"/>
          <w:szCs w:val="20"/>
        </w:rPr>
        <w:t>36 % of target revenue is funded</w:t>
      </w:r>
    </w:p>
    <w:p>
      <w:pPr>
        <w:bidi w:val="0"/>
        <w:spacing w:before="240" w:after="0"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0"/>
          <w:szCs w:val="20"/>
        </w:rPr>
        <w:t>However in addition USD 33,000 from IOM/SDC to be signed in early Jan</w:t>
      </w: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and USD 2.3 mn from Japan for the period of Mar-Dec 2018 (the total Programme budget is Approx. 3.0 mn), which is expected to become available resources in the first quarter of 2018.)</w:t>
      </w:r>
    </w:p>
    <w:p>
      <w:pPr>
        <w:bidi w:val="0"/>
        <w:spacing w:before="240" w:after="0"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0"/>
          <w:szCs w:val="20"/>
        </w:rPr>
        <w:t> </w:t>
      </w:r>
    </w:p>
    <w:p>
      <w:pPr>
        <w:bidi w:val="0"/>
        <w:spacing w:before="240" w:after="0"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0"/>
          <w:szCs w:val="20"/>
        </w:rPr>
        <w:t>The office is working to raise resources. The following is a snapshot of hard and soft pipeline funds:</w:t>
      </w:r>
    </w:p>
    <w:tbl>
      <w:tblPr>
        <w:tblCellSpacing w:w="15" w:type="dxa"/>
        <w:tblInd w:w="577"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Pr>
      <w:tblGrid>
        <w:gridCol w:w="1181"/>
        <w:gridCol w:w="1169"/>
        <w:gridCol w:w="2114"/>
        <w:gridCol w:w="1859"/>
        <w:gridCol w:w="2339"/>
        <w:gridCol w:w="1619"/>
      </w:tblGrid>
      <w:tr>
        <w:tblPrEx>
          <w:tblCellSpacing w:w="15" w:type="dxa"/>
          <w:tblInd w:w="577"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PrEx>
        <w:trPr>
          <w:tblCellSpacing w:w="15" w:type="dxa"/>
        </w:trPr>
        <w:tc>
          <w:tcPr>
            <w:tcW w:w="73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Lead ID </w:t>
            </w:r>
          </w:p>
        </w:tc>
        <w:tc>
          <w:tcPr>
            <w:tcW w:w="112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Status  </w:t>
            </w:r>
          </w:p>
        </w:tc>
        <w:tc>
          <w:tcPr>
            <w:tcW w:w="2070"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Title </w:t>
            </w:r>
          </w:p>
        </w:tc>
        <w:tc>
          <w:tcPr>
            <w:tcW w:w="181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Amt </w:t>
            </w:r>
          </w:p>
        </w:tc>
        <w:tc>
          <w:tcPr>
            <w:tcW w:w="229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Date &amp; Probability </w:t>
            </w:r>
          </w:p>
        </w:tc>
        <w:tc>
          <w:tcPr>
            <w:tcW w:w="157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Donor </w:t>
            </w:r>
          </w:p>
        </w:tc>
      </w:tr>
      <w:tr>
        <w:tblPrEx>
          <w:tblCellSpacing w:w="15" w:type="dxa"/>
          <w:tblInd w:w="577" w:type="dxa"/>
          <w:tblCellMar>
            <w:top w:w="15" w:type="dxa"/>
            <w:left w:w="15" w:type="dxa"/>
            <w:bottom w:w="15" w:type="dxa"/>
            <w:right w:w="15" w:type="dxa"/>
          </w:tblCellMar>
        </w:tblPrEx>
        <w:trPr>
          <w:tblCellSpacing w:w="15" w:type="dxa"/>
        </w:trPr>
        <w:tc>
          <w:tcPr>
            <w:tcW w:w="73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p>
        </w:tc>
        <w:tc>
          <w:tcPr>
            <w:tcW w:w="112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p>
        </w:tc>
        <w:tc>
          <w:tcPr>
            <w:vAlign w:val="center"/>
            <w:hideMark/>
          </w:tcPr>
          <w:p>
            <w:pPr>
              <w:rPr>
                <w:rFonts w:ascii="Times New Roman" w:eastAsia="Times New Roman" w:hAnsi="Times New Roman" w:cs="Times New Roman"/>
                <w:b w:val="0"/>
                <w:bCs w:val="0"/>
                <w:i w:val="0"/>
                <w:iCs w:val="0"/>
                <w:smallCaps w:val="0"/>
                <w:color w:val="000000"/>
                <w:sz w:val="24"/>
                <w:szCs w:val="24"/>
              </w:rPr>
            </w:pPr>
          </w:p>
        </w:tc>
        <w:tc>
          <w:tcPr>
            <w:vAlign w:val="center"/>
            <w:hideMark/>
          </w:tcPr>
          <w:p>
            <w:pPr>
              <w:rPr>
                <w:rFonts w:ascii="Times New Roman" w:eastAsia="Times New Roman" w:hAnsi="Times New Roman" w:cs="Times New Roman"/>
                <w:b w:val="0"/>
                <w:bCs w:val="0"/>
                <w:i w:val="0"/>
                <w:iCs w:val="0"/>
                <w:smallCaps w:val="0"/>
                <w:color w:val="000000"/>
                <w:sz w:val="24"/>
                <w:szCs w:val="24"/>
              </w:rPr>
            </w:pPr>
          </w:p>
        </w:tc>
        <w:tc>
          <w:tcPr>
            <w:vAlign w:val="center"/>
            <w:hideMark/>
          </w:tcPr>
          <w:p>
            <w:pPr>
              <w:rPr>
                <w:rFonts w:ascii="Times New Roman" w:eastAsia="Times New Roman" w:hAnsi="Times New Roman" w:cs="Times New Roman"/>
                <w:b w:val="0"/>
                <w:bCs w:val="0"/>
                <w:i w:val="0"/>
                <w:iCs w:val="0"/>
                <w:smallCaps w:val="0"/>
                <w:color w:val="000000"/>
                <w:sz w:val="24"/>
                <w:szCs w:val="24"/>
              </w:rPr>
            </w:pPr>
          </w:p>
        </w:tc>
        <w:tc>
          <w:tcPr>
            <w:vAlign w:val="center"/>
            <w:hideMark/>
          </w:tcPr>
          <w:p>
            <w:pPr>
              <w:rPr>
                <w:rFonts w:ascii="Times New Roman" w:eastAsia="Times New Roman" w:hAnsi="Times New Roman" w:cs="Times New Roman"/>
                <w:b w:val="0"/>
                <w:bCs w:val="0"/>
                <w:i w:val="0"/>
                <w:iCs w:val="0"/>
                <w:smallCaps w:val="0"/>
                <w:color w:val="000000"/>
                <w:sz w:val="24"/>
                <w:szCs w:val="24"/>
              </w:rPr>
            </w:pPr>
          </w:p>
        </w:tc>
      </w:tr>
      <w:tr>
        <w:tblPrEx>
          <w:tblCellSpacing w:w="15" w:type="dxa"/>
          <w:tblInd w:w="577" w:type="dxa"/>
          <w:tblCellMar>
            <w:top w:w="15" w:type="dxa"/>
            <w:left w:w="15" w:type="dxa"/>
            <w:bottom w:w="15" w:type="dxa"/>
            <w:right w:w="15" w:type="dxa"/>
          </w:tblCellMar>
        </w:tblPrEx>
        <w:trPr>
          <w:tblCellSpacing w:w="15" w:type="dxa"/>
        </w:trPr>
        <w:tc>
          <w:tcPr>
            <w:tcW w:w="73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5752 </w:t>
            </w:r>
          </w:p>
        </w:tc>
        <w:tc>
          <w:tcPr>
            <w:tcW w:w="112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Active </w:t>
            </w:r>
          </w:p>
        </w:tc>
        <w:tc>
          <w:tcPr>
            <w:tcW w:w="2070"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Strengthening Women's Access to Productive Assets in Agriculture, JP UNW-FAO </w:t>
            </w:r>
          </w:p>
        </w:tc>
        <w:tc>
          <w:tcPr>
            <w:tcW w:w="181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USD 3,500,000 </w:t>
            </w:r>
          </w:p>
        </w:tc>
        <w:tc>
          <w:tcPr>
            <w:tcW w:w="229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July 2018-June 2022</w:t>
            </w:r>
            <w:r>
              <w:rPr>
                <w:rFonts w:ascii="Times New Roman" w:eastAsia="Times New Roman" w:hAnsi="Times New Roman" w:cs="Times New Roman"/>
                <w:b w:val="0"/>
                <w:bCs w:val="0"/>
                <w:i w:val="0"/>
                <w:iCs w:val="0"/>
                <w:smallCaps w:val="0"/>
                <w:color w:val="000000"/>
                <w:sz w:val="20"/>
                <w:szCs w:val="20"/>
              </w:rPr>
              <w:br/>
            </w:r>
            <w:r>
              <w:rPr>
                <w:rFonts w:ascii="Times New Roman" w:eastAsia="Times New Roman" w:hAnsi="Times New Roman" w:cs="Times New Roman"/>
                <w:b w:val="0"/>
                <w:bCs w:val="0"/>
                <w:i w:val="0"/>
                <w:iCs w:val="0"/>
                <w:smallCaps w:val="0"/>
                <w:color w:val="000000"/>
                <w:sz w:val="20"/>
                <w:szCs w:val="20"/>
              </w:rPr>
              <w:t xml:space="preserve">80% </w:t>
            </w:r>
          </w:p>
        </w:tc>
        <w:tc>
          <w:tcPr>
            <w:tcW w:w="157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Canada, USAID, LIFT </w:t>
            </w:r>
          </w:p>
        </w:tc>
      </w:tr>
      <w:tr>
        <w:tblPrEx>
          <w:tblCellSpacing w:w="15" w:type="dxa"/>
          <w:tblInd w:w="577" w:type="dxa"/>
          <w:tblCellMar>
            <w:top w:w="15" w:type="dxa"/>
            <w:left w:w="15" w:type="dxa"/>
            <w:bottom w:w="15" w:type="dxa"/>
            <w:right w:w="15" w:type="dxa"/>
          </w:tblCellMar>
        </w:tblPrEx>
        <w:trPr>
          <w:tblCellSpacing w:w="15" w:type="dxa"/>
        </w:trPr>
        <w:tc>
          <w:tcPr>
            <w:tcW w:w="73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5749 </w:t>
            </w:r>
          </w:p>
        </w:tc>
        <w:tc>
          <w:tcPr>
            <w:tcW w:w="112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Active </w:t>
            </w:r>
          </w:p>
        </w:tc>
        <w:tc>
          <w:tcPr>
            <w:tcW w:w="2070"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Advancing the Women and Peace Agenda in Myanmar </w:t>
            </w:r>
          </w:p>
        </w:tc>
        <w:tc>
          <w:tcPr>
            <w:tcW w:w="181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USD 1,000,000 </w:t>
            </w:r>
          </w:p>
        </w:tc>
        <w:tc>
          <w:tcPr>
            <w:tcW w:w="229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July 2018-June 2022</w:t>
            </w:r>
            <w:r>
              <w:rPr>
                <w:rFonts w:ascii="Times New Roman" w:eastAsia="Times New Roman" w:hAnsi="Times New Roman" w:cs="Times New Roman"/>
                <w:b w:val="0"/>
                <w:bCs w:val="0"/>
                <w:i w:val="0"/>
                <w:iCs w:val="0"/>
                <w:smallCaps w:val="0"/>
                <w:color w:val="000000"/>
                <w:sz w:val="20"/>
                <w:szCs w:val="20"/>
              </w:rPr>
              <w:br/>
            </w:r>
            <w:r>
              <w:rPr>
                <w:rFonts w:ascii="Times New Roman" w:eastAsia="Times New Roman" w:hAnsi="Times New Roman" w:cs="Times New Roman"/>
                <w:b w:val="0"/>
                <w:bCs w:val="0"/>
                <w:i w:val="0"/>
                <w:iCs w:val="0"/>
                <w:smallCaps w:val="0"/>
                <w:color w:val="000000"/>
                <w:sz w:val="20"/>
                <w:szCs w:val="20"/>
              </w:rPr>
              <w:t xml:space="preserve">80% </w:t>
            </w:r>
          </w:p>
        </w:tc>
        <w:tc>
          <w:tcPr>
            <w:tcW w:w="157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JPF </w:t>
            </w:r>
          </w:p>
        </w:tc>
      </w:tr>
      <w:tr>
        <w:tblPrEx>
          <w:tblCellSpacing w:w="15" w:type="dxa"/>
          <w:tblInd w:w="577" w:type="dxa"/>
          <w:tblCellMar>
            <w:top w:w="15" w:type="dxa"/>
            <w:left w:w="15" w:type="dxa"/>
            <w:bottom w:w="15" w:type="dxa"/>
            <w:right w:w="15" w:type="dxa"/>
          </w:tblCellMar>
        </w:tblPrEx>
        <w:trPr>
          <w:tblCellSpacing w:w="15" w:type="dxa"/>
        </w:trPr>
        <w:tc>
          <w:tcPr>
            <w:tcW w:w="73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5728 </w:t>
            </w:r>
          </w:p>
        </w:tc>
        <w:tc>
          <w:tcPr>
            <w:tcW w:w="112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Active </w:t>
            </w:r>
          </w:p>
        </w:tc>
        <w:tc>
          <w:tcPr>
            <w:tcW w:w="2070"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Towards 2020 : Building Women's Leadership for Transformation, JP UNW-UNDP </w:t>
            </w:r>
          </w:p>
        </w:tc>
        <w:tc>
          <w:tcPr>
            <w:tcW w:w="181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USD 1,500,000 </w:t>
            </w:r>
          </w:p>
        </w:tc>
        <w:tc>
          <w:tcPr>
            <w:tcW w:w="229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Oct 2018-September 2020</w:t>
            </w:r>
            <w:r>
              <w:rPr>
                <w:rFonts w:ascii="Times New Roman" w:eastAsia="Times New Roman" w:hAnsi="Times New Roman" w:cs="Times New Roman"/>
                <w:b w:val="0"/>
                <w:bCs w:val="0"/>
                <w:i w:val="0"/>
                <w:iCs w:val="0"/>
                <w:smallCaps w:val="0"/>
                <w:color w:val="000000"/>
                <w:sz w:val="20"/>
                <w:szCs w:val="20"/>
              </w:rPr>
              <w:br/>
            </w:r>
            <w:r>
              <w:rPr>
                <w:rFonts w:ascii="Times New Roman" w:eastAsia="Times New Roman" w:hAnsi="Times New Roman" w:cs="Times New Roman"/>
                <w:b w:val="0"/>
                <w:bCs w:val="0"/>
                <w:i w:val="0"/>
                <w:iCs w:val="0"/>
                <w:smallCaps w:val="0"/>
                <w:color w:val="000000"/>
                <w:sz w:val="20"/>
                <w:szCs w:val="20"/>
              </w:rPr>
              <w:t xml:space="preserve">80% </w:t>
            </w:r>
          </w:p>
        </w:tc>
        <w:tc>
          <w:tcPr>
            <w:tcW w:w="157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rPr>
              <w:t xml:space="preserve">Canada </w:t>
            </w:r>
          </w:p>
        </w:tc>
      </w:tr>
      <w:tr>
        <w:tblPrEx>
          <w:tblCellSpacing w:w="15" w:type="dxa"/>
          <w:tblInd w:w="577" w:type="dxa"/>
          <w:tblCellMar>
            <w:top w:w="15" w:type="dxa"/>
            <w:left w:w="15" w:type="dxa"/>
            <w:bottom w:w="15" w:type="dxa"/>
            <w:right w:w="15" w:type="dxa"/>
          </w:tblCellMar>
        </w:tblPrEx>
        <w:trPr>
          <w:tblCellSpacing w:w="15" w:type="dxa"/>
        </w:trPr>
        <w:tc>
          <w:tcPr>
            <w:tcW w:w="73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shd w:val="clear" w:color="auto" w:fill="FFFFFF"/>
              </w:rPr>
              <w:t> </w:t>
            </w:r>
            <w:r>
              <w:rPr>
                <w:rFonts w:ascii="Times New Roman" w:eastAsia="Times New Roman" w:hAnsi="Times New Roman" w:cs="Times New Roman"/>
                <w:b w:val="0"/>
                <w:bCs w:val="0"/>
                <w:i w:val="0"/>
                <w:iCs w:val="0"/>
                <w:smallCaps w:val="0"/>
                <w:color w:val="000000"/>
                <w:sz w:val="20"/>
                <w:szCs w:val="20"/>
                <w:shd w:val="clear" w:color="auto" w:fill="FFFFFF"/>
              </w:rPr>
              <w:br/>
            </w:r>
            <w:r>
              <w:rPr>
                <w:rFonts w:ascii="Times New Roman" w:eastAsia="Times New Roman" w:hAnsi="Times New Roman" w:cs="Times New Roman"/>
                <w:b w:val="0"/>
                <w:bCs w:val="0"/>
                <w:i w:val="0"/>
                <w:iCs w:val="0"/>
                <w:smallCaps w:val="0"/>
                <w:color w:val="000000"/>
                <w:sz w:val="20"/>
                <w:szCs w:val="20"/>
                <w:shd w:val="clear" w:color="auto" w:fill="FFFFFF"/>
              </w:rPr>
              <w:t> </w:t>
            </w:r>
            <w:r>
              <w:rPr>
                <w:rFonts w:ascii="Times New Roman" w:eastAsia="Times New Roman" w:hAnsi="Times New Roman" w:cs="Times New Roman"/>
                <w:b w:val="0"/>
                <w:bCs w:val="0"/>
                <w:i w:val="0"/>
                <w:iCs w:val="0"/>
                <w:smallCaps w:val="0"/>
                <w:color w:val="000000"/>
                <w:sz w:val="20"/>
                <w:szCs w:val="20"/>
                <w:shd w:val="clear" w:color="auto" w:fill="FFFFFF"/>
              </w:rPr>
              <w:br/>
            </w:r>
            <w:r>
              <w:rPr>
                <w:rFonts w:ascii="Times New Roman" w:eastAsia="Times New Roman" w:hAnsi="Times New Roman" w:cs="Times New Roman"/>
                <w:b w:val="0"/>
                <w:bCs w:val="0"/>
                <w:i w:val="0"/>
                <w:iCs w:val="0"/>
                <w:smallCaps w:val="0"/>
                <w:color w:val="000000"/>
                <w:sz w:val="20"/>
                <w:szCs w:val="20"/>
                <w:shd w:val="clear" w:color="auto" w:fill="FFFFFF"/>
              </w:rPr>
              <w:t>7260</w:t>
            </w:r>
            <w:r>
              <w:rPr>
                <w:rFonts w:ascii="Times New Roman" w:eastAsia="Times New Roman" w:hAnsi="Times New Roman" w:cs="Times New Roman"/>
                <w:b w:val="0"/>
                <w:bCs w:val="0"/>
                <w:i w:val="0"/>
                <w:iCs w:val="0"/>
                <w:smallCaps w:val="0"/>
                <w:color w:val="000000"/>
                <w:sz w:val="20"/>
                <w:szCs w:val="20"/>
                <w:shd w:val="clear" w:color="auto" w:fill="FFFFFF"/>
              </w:rPr>
              <w:br/>
            </w:r>
            <w:r>
              <w:rPr>
                <w:rFonts w:ascii="Times New Roman" w:eastAsia="Times New Roman" w:hAnsi="Times New Roman" w:cs="Times New Roman"/>
                <w:b w:val="0"/>
                <w:bCs w:val="0"/>
                <w:i w:val="0"/>
                <w:iCs w:val="0"/>
                <w:smallCaps w:val="0"/>
                <w:color w:val="000000"/>
                <w:sz w:val="20"/>
                <w:szCs w:val="20"/>
                <w:shd w:val="clear" w:color="auto" w:fill="FFFFFF"/>
              </w:rPr>
              <w:t> </w:t>
            </w:r>
            <w:r>
              <w:rPr>
                <w:rFonts w:ascii="Times New Roman" w:eastAsia="Times New Roman" w:hAnsi="Times New Roman" w:cs="Times New Roman"/>
                <w:b w:val="0"/>
                <w:bCs w:val="0"/>
                <w:i w:val="0"/>
                <w:iCs w:val="0"/>
                <w:smallCaps w:val="0"/>
                <w:color w:val="000000"/>
                <w:sz w:val="20"/>
                <w:szCs w:val="20"/>
                <w:shd w:val="clear" w:color="auto" w:fill="FFFFFF"/>
              </w:rPr>
              <w:br/>
            </w:r>
            <w:r>
              <w:rPr>
                <w:rFonts w:ascii="Times New Roman" w:eastAsia="Times New Roman" w:hAnsi="Times New Roman" w:cs="Times New Roman"/>
                <w:b w:val="0"/>
                <w:bCs w:val="0"/>
                <w:i w:val="0"/>
                <w:iCs w:val="0"/>
                <w:smallCaps w:val="0"/>
                <w:color w:val="000000"/>
                <w:sz w:val="20"/>
                <w:szCs w:val="20"/>
                <w:shd w:val="clear" w:color="auto" w:fill="FFFFFF"/>
              </w:rPr>
              <w:t> </w:t>
            </w:r>
          </w:p>
        </w:tc>
        <w:tc>
          <w:tcPr>
            <w:tcW w:w="112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shd w:val="clear" w:color="auto" w:fill="FFFFFF"/>
              </w:rPr>
              <w:t>Active</w:t>
            </w:r>
          </w:p>
        </w:tc>
        <w:tc>
          <w:tcPr>
            <w:tcW w:w="2070"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shd w:val="clear" w:color="auto" w:fill="FFFFFF"/>
              </w:rPr>
              <w:t>Promoting community resilience and socio-economic development of Rakhine state through women’s empowerment, livelihood security and self-reliance</w:t>
            </w:r>
          </w:p>
        </w:tc>
        <w:tc>
          <w:tcPr>
            <w:tcW w:w="181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shd w:val="clear" w:color="auto" w:fill="FFFFFF"/>
              </w:rPr>
              <w:t>USD 3,000,000</w:t>
            </w:r>
          </w:p>
        </w:tc>
        <w:tc>
          <w:tcPr>
            <w:tcW w:w="229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shd w:val="clear" w:color="auto" w:fill="FFFFFF"/>
              </w:rPr>
              <w:t>April 2018 – March 2019</w:t>
            </w:r>
            <w:r>
              <w:rPr>
                <w:rFonts w:ascii="Times New Roman" w:eastAsia="Times New Roman" w:hAnsi="Times New Roman" w:cs="Times New Roman"/>
                <w:b w:val="0"/>
                <w:bCs w:val="0"/>
                <w:i w:val="0"/>
                <w:iCs w:val="0"/>
                <w:smallCaps w:val="0"/>
                <w:color w:val="000000"/>
                <w:sz w:val="20"/>
                <w:szCs w:val="20"/>
                <w:shd w:val="clear" w:color="auto" w:fill="FFFFFF"/>
              </w:rPr>
              <w:br/>
            </w:r>
            <w:r>
              <w:rPr>
                <w:rFonts w:ascii="Times New Roman" w:eastAsia="Times New Roman" w:hAnsi="Times New Roman" w:cs="Times New Roman"/>
                <w:b w:val="0"/>
                <w:bCs w:val="0"/>
                <w:i w:val="0"/>
                <w:iCs w:val="0"/>
                <w:smallCaps w:val="0"/>
                <w:color w:val="000000"/>
                <w:sz w:val="20"/>
                <w:szCs w:val="20"/>
                <w:shd w:val="clear" w:color="auto" w:fill="FFFFFF"/>
              </w:rPr>
              <w:t>85%</w:t>
            </w:r>
          </w:p>
        </w:tc>
        <w:tc>
          <w:tcPr>
            <w:tcW w:w="1575" w:type="dxa"/>
            <w:tcBorders>
              <w:top w:val="inset" w:sz="6" w:space="0" w:color="808080"/>
              <w:left w:val="inset" w:sz="6" w:space="0" w:color="808080"/>
              <w:bottom w:val="inset" w:sz="6" w:space="0" w:color="808080"/>
              <w:right w:val="inset" w:sz="6" w:space="0" w:color="808080"/>
            </w:tcBorders>
            <w:noWrap w:val="0"/>
            <w:tcMar>
              <w:top w:w="22" w:type="dxa"/>
              <w:left w:w="22" w:type="dxa"/>
              <w:bottom w:w="22" w:type="dxa"/>
              <w:right w:w="22" w:type="dxa"/>
            </w:tcMar>
            <w:vAlign w:val="center"/>
            <w:hideMark/>
          </w:tcPr>
          <w:p>
            <w:pPr>
              <w:bidi w:val="0"/>
              <w:spacing w:after="0" w:line="240" w:lineRule="auto"/>
              <w:ind w:hanging="547"/>
              <w:rPr>
                <w:rFonts w:ascii="Times New Roman" w:eastAsia="Times New Roman" w:hAnsi="Times New Roman" w:cs="Times New Roman"/>
                <w:b w:val="0"/>
                <w:bCs w:val="0"/>
                <w:i w:val="0"/>
                <w:iCs w:val="0"/>
                <w:smallCaps w:val="0"/>
                <w:color w:val="000000"/>
                <w:sz w:val="24"/>
                <w:szCs w:val="24"/>
              </w:rPr>
            </w:pPr>
            <w:r>
              <w:rPr>
                <w:rFonts w:ascii="Times New Roman" w:eastAsia="Times New Roman" w:hAnsi="Times New Roman" w:cs="Times New Roman"/>
                <w:b w:val="0"/>
                <w:bCs w:val="0"/>
                <w:i w:val="0"/>
                <w:iCs w:val="0"/>
                <w:smallCaps w:val="0"/>
                <w:color w:val="000000"/>
                <w:sz w:val="20"/>
                <w:szCs w:val="20"/>
                <w:shd w:val="clear" w:color="auto" w:fill="FFFFFF"/>
              </w:rPr>
              <w:t>Japan</w:t>
            </w:r>
          </w:p>
        </w:tc>
      </w:tr>
    </w:tbl>
    <w:p>
      <w:pPr>
        <w:bidi w:val="0"/>
        <w:spacing w:before="240" w:after="0"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b/>
          <w:bCs/>
          <w:i/>
          <w:iCs/>
          <w:sz w:val="20"/>
          <w:szCs w:val="20"/>
        </w:rPr>
        <w:t> </w:t>
      </w:r>
    </w:p>
    <w:p>
      <w:pPr>
        <w:bidi w:val="0"/>
        <w:spacing w:before="240" w:after="0"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b/>
          <w:bCs/>
          <w:i/>
          <w:iCs/>
          <w:sz w:val="20"/>
          <w:szCs w:val="20"/>
        </w:rPr>
        <w:t> </w:t>
      </w:r>
    </w:p>
    <w:p>
      <w:pPr>
        <w:bidi w:val="0"/>
        <w:spacing w:before="240" w:after="0"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b/>
          <w:bCs/>
          <w:i/>
          <w:iCs/>
          <w:sz w:val="20"/>
          <w:szCs w:val="20"/>
        </w:rPr>
        <w:t>OEEF Funding:</w:t>
      </w:r>
    </w:p>
    <w:p>
      <w:pPr>
        <w:numPr>
          <w:ilvl w:val="0"/>
          <w:numId w:val="1"/>
        </w:numPr>
        <w:tabs>
          <w:tab w:val="left" w:pos="720"/>
        </w:tabs>
        <w:bidi w:val="0"/>
        <w:spacing w:before="240" w:after="0" w:line="240" w:lineRule="auto"/>
        <w:ind w:left="1267" w:hanging="21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XB: USD 5,000 for Effective Partnerships; USD 2,000 for Staff Capacity building: USD 7,000</w:t>
      </w:r>
    </w:p>
    <w:p>
      <w:pPr>
        <w:numPr>
          <w:ilvl w:val="0"/>
          <w:numId w:val="1"/>
        </w:numPr>
        <w:tabs>
          <w:tab w:val="left" w:pos="720"/>
        </w:tabs>
        <w:bidi w:val="0"/>
        <w:spacing w:after="240" w:line="240" w:lineRule="auto"/>
        <w:ind w:left="1267" w:hanging="21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Core requested: USD 10,000 for Resource </w:t>
      </w:r>
    </w:p>
    <w:p>
      <w:pPr>
        <w:bidi w:val="0"/>
        <w:spacing w:before="240" w:after="0"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0"/>
          <w:szCs w:val="20"/>
        </w:rPr>
        <w:t> </w:t>
      </w:r>
    </w:p>
    <w:p>
      <w:pPr>
        <w:bidi w:val="0"/>
        <w:spacing w:before="240" w:after="0"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0"/>
          <w:szCs w:val="20"/>
        </w:rPr>
        <w:t>Office will move towards implementation of a full cost recovery plan</w:t>
      </w:r>
    </w:p>
    <w:p>
      <w:pPr>
        <w:bidi w:val="0"/>
        <w:spacing w:before="240" w:after="240" w:line="240" w:lineRule="auto"/>
        <w:ind w:left="547" w:hanging="547"/>
        <w:rPr>
          <w:rFonts w:ascii="Times New Roman" w:eastAsia="Times New Roman" w:hAnsi="Times New Roman" w:cs="Times New Roman"/>
          <w:sz w:val="24"/>
          <w:szCs w:val="24"/>
        </w:rPr>
      </w:pPr>
      <w:r>
        <w:rPr>
          <w:rFonts w:ascii="Calibri" w:eastAsia="Calibri" w:hAnsi="Calibri" w:cs="Calibri"/>
          <w:b/>
          <w:bCs/>
          <w:sz w:val="20"/>
          <w:szCs w:val="20"/>
        </w:rPr>
        <w:t> </w:t>
      </w:r>
    </w:p>
    <w:p>
      <w:pPr>
        <w:bidi w:val="0"/>
        <w:spacing w:before="240" w:after="240"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p>
    <w:p>
      <w:pPr>
        <w:bidi w:val="0"/>
        <w:spacing w:before="240" w:after="0" w:line="240" w:lineRule="auto"/>
        <w:ind w:left="547" w:hanging="547"/>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w:t>
      </w:r>
    </w:p>
    <w:p w:rsidR="00C07D60">
      <w:pPr>
        <w:spacing w:after="0" w:line="257" w:lineRule="auto"/>
        <w:jc w:val="left"/>
        <w:rPr>
          <w:b/>
          <w:sz w:val="24"/>
          <w:u w:val="single"/>
        </w:rPr>
      </w:pPr>
    </w:p>
    <w:p w:rsidR="00C07D60">
      <w:pPr>
        <w:spacing w:after="0" w:line="257" w:lineRule="auto"/>
        <w:jc w:val="left"/>
        <w:rPr>
          <w:b/>
          <w:sz w:val="24"/>
          <w:u w:val="single"/>
        </w:rPr>
      </w:pPr>
    </w:p>
    <w:p w:rsidR="00C07D60">
      <w:pPr>
        <w:spacing w:after="0" w:line="257" w:lineRule="auto"/>
        <w:jc w:val="left"/>
        <w:rPr>
          <w:b/>
          <w:sz w:val="24"/>
          <w:u w:val="single"/>
        </w:rPr>
      </w:pPr>
    </w:p>
    <w:p w:rsidR="00C07D60">
      <w:pPr>
        <w:spacing w:after="0" w:line="257" w:lineRule="auto"/>
        <w:jc w:val="left"/>
        <w:rPr>
          <w:b/>
          <w:sz w:val="24"/>
          <w:u w:val="single"/>
        </w:rPr>
      </w:pPr>
      <w:r>
        <w:rPr>
          <w:b/>
          <w:sz w:val="24"/>
          <w:u w:val="single"/>
        </w:rPr>
        <w:t>8. Communication and Advocacy :</w:t>
      </w:r>
    </w:p>
    <w:p>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JPO will be hired as a communications specialist. This will ensure branding, visibility to UN Women Myanmar’s work, marketing.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Advocacy will be a critical part of all UN Women, Myanmar's activities with government, EAOs, political parties, the media, women's groups, parliamentarians and security sector actors. Advocacy will focus on diplomatic advocacy with senior government actors as well as use of consultations, high level and other round tables, meetings, brokering linkages between partners that can advance the gender agenda, sharing global good practice. Advocacy strategies will be tailored to the target group being advocated with.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Investment will be needed to expand and levarage innovation and communications technology to enhance our reach in advocacy, capacity building, showcasing results.</w:t>
      </w:r>
    </w:p>
    <w:p w:rsidR="00C07D60">
      <w:pPr>
        <w:spacing w:after="0" w:line="257" w:lineRule="auto"/>
        <w:jc w:val="left"/>
        <w:rPr>
          <w:b/>
          <w:sz w:val="24"/>
          <w:u w:val="single"/>
        </w:rPr>
      </w:pPr>
    </w:p>
    <w:p w:rsidR="00C07D60">
      <w:pPr>
        <w:spacing w:after="0" w:line="257" w:lineRule="auto"/>
        <w:jc w:val="left"/>
        <w:rPr>
          <w:b/>
          <w:sz w:val="24"/>
          <w:u w:val="single"/>
        </w:rPr>
      </w:pPr>
    </w:p>
    <w:p w:rsidR="00C07D60">
      <w:pPr>
        <w:spacing w:after="0" w:line="257" w:lineRule="auto"/>
        <w:jc w:val="left"/>
        <w:rPr>
          <w:b/>
          <w:sz w:val="24"/>
          <w:u w:val="single"/>
        </w:rPr>
      </w:pPr>
    </w:p>
    <w:p w:rsidR="00C07D60">
      <w:pPr>
        <w:spacing w:after="0" w:line="257" w:lineRule="auto"/>
        <w:jc w:val="left"/>
        <w:rPr>
          <w:b/>
          <w:sz w:val="24"/>
          <w:u w:val="single"/>
        </w:rPr>
      </w:pPr>
      <w:r>
        <w:rPr>
          <w:b/>
          <w:sz w:val="24"/>
          <w:u w:val="single"/>
        </w:rPr>
        <w:t>9. Key Risks and Risk Mitigation :</w:t>
      </w:r>
    </w:p>
    <w:p>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Risk and Mitigation No. 1</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Risk No 1:</w:t>
      </w:r>
      <w:r>
        <w:rPr>
          <w:rFonts w:ascii="Times New Roman" w:eastAsia="Times New Roman" w:hAnsi="Times New Roman" w:cs="Times New Roman"/>
          <w:sz w:val="24"/>
          <w:szCs w:val="24"/>
        </w:rPr>
        <w:t xml:space="preserve"> Peace Process National Dialogue and Processes postponed because of Rakhine crisis</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Mitigation of Risk No 1:</w:t>
      </w:r>
      <w:r>
        <w:rPr>
          <w:rFonts w:ascii="Times New Roman" w:eastAsia="Times New Roman" w:hAnsi="Times New Roman" w:cs="Times New Roman"/>
          <w:sz w:val="24"/>
          <w:szCs w:val="24"/>
        </w:rPr>
        <w:t xml:space="preserve"> Activities will focus on capacity building of CSOs, EAO and political party leadership to raise gender issues at the National Peace Dialogue whenever it occurs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Risk and Mitigation No. 2</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Risk No 2:</w:t>
      </w:r>
      <w:r>
        <w:rPr>
          <w:rFonts w:ascii="Times New Roman" w:eastAsia="Times New Roman" w:hAnsi="Times New Roman" w:cs="Times New Roman"/>
          <w:sz w:val="24"/>
          <w:szCs w:val="24"/>
        </w:rPr>
        <w:t xml:space="preserve"> National Planning Processes on Women and Peace in relation to NSPAW delayed as Ministry is playing a central role in Rakhine crisis</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Mitigation Strategy No.2: </w:t>
      </w:r>
      <w:r>
        <w:rPr>
          <w:rFonts w:ascii="Times New Roman" w:eastAsia="Times New Roman" w:hAnsi="Times New Roman" w:cs="Times New Roman"/>
          <w:sz w:val="24"/>
          <w:szCs w:val="24"/>
        </w:rPr>
        <w:t>Most work will be co-ordinated by</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 xml:space="preserve">co-chairs of theme group clusters for plan development in relation to thematic areas. Discussions underway to set dates for key multi-stakeholder govt meetings for discussion of plans in relation to thematic area to then be presented for govt endorsement. In other words much of this time will be usefully spent at working level in plan development </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Risk and Mitigation No. 3</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Risk No 3: </w:t>
      </w:r>
      <w:r>
        <w:rPr>
          <w:rFonts w:ascii="Times New Roman" w:eastAsia="Times New Roman" w:hAnsi="Times New Roman" w:cs="Times New Roman"/>
          <w:sz w:val="24"/>
          <w:szCs w:val="24"/>
        </w:rPr>
        <w:t>Permissions put on hold for work with police in Mon State and TAs for travel imposed delaying project implementation</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Mitigation Strategy No 3:</w:t>
      </w:r>
      <w:r>
        <w:rPr>
          <w:rFonts w:ascii="Times New Roman" w:eastAsia="Times New Roman" w:hAnsi="Times New Roman" w:cs="Times New Roman"/>
          <w:sz w:val="24"/>
          <w:szCs w:val="24"/>
        </w:rPr>
        <w:t xml:space="preserve"> This is not peculiar to UN Women. UNFPA Representation has been officially informed. Monies will need to be re-phased to 2018. Preparatory work in place for immediate commencement as soon as permissions are given. Follow up continues on permissions. It is expected that the situation will ease next year, also because this is not a conflict area.</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Risk and Mitigation No.4   </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Risk No. 4: </w:t>
      </w:r>
      <w:r>
        <w:rPr>
          <w:rFonts w:ascii="Times New Roman" w:eastAsia="Times New Roman" w:hAnsi="Times New Roman" w:cs="Times New Roman"/>
          <w:sz w:val="24"/>
          <w:szCs w:val="24"/>
        </w:rPr>
        <w:t>Access in Rakhine continues to be denied to the UN; risk that rebuilding infrastructure and resettlement will benefit other communities and UN agencies supporting this on government request will be widely criticized for contributing to exclusion of former inhabitants of those sites and by UN system for not discussing collective support of UN</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Mitigation Strategy No. 4: </w:t>
      </w:r>
      <w:r>
        <w:rPr>
          <w:rFonts w:ascii="Times New Roman" w:eastAsia="Times New Roman" w:hAnsi="Times New Roman" w:cs="Times New Roman"/>
          <w:sz w:val="24"/>
          <w:szCs w:val="24"/>
        </w:rPr>
        <w:t>Revise programming strategy in consultation with donors and partners</w:t>
      </w:r>
    </w:p>
    <w:p w:rsidR="00C07D60">
      <w:pPr>
        <w:spacing w:after="0" w:line="257" w:lineRule="auto"/>
        <w:jc w:val="left"/>
        <w:rPr>
          <w:b/>
          <w:sz w:val="24"/>
          <w:u w:val="single"/>
        </w:rPr>
      </w:pPr>
    </w:p>
    <w:p w:rsidR="00C07D60">
      <w:pPr>
        <w:spacing w:after="0" w:line="257" w:lineRule="auto"/>
        <w:jc w:val="left"/>
        <w:rPr>
          <w:b/>
          <w:sz w:val="24"/>
          <w:u w:val="single"/>
        </w:rPr>
      </w:pPr>
    </w:p>
    <w:p w:rsidR="00C07D60">
      <w:pPr>
        <w:spacing w:after="0" w:line="257" w:lineRule="auto"/>
        <w:jc w:val="left"/>
        <w:rPr>
          <w:b/>
          <w:sz w:val="24"/>
          <w:u w:val="single"/>
        </w:rPr>
      </w:pPr>
    </w:p>
    <w:p w:rsidR="00C07D60">
      <w:pPr>
        <w:spacing w:after="0" w:line="257" w:lineRule="auto"/>
        <w:jc w:val="left"/>
        <w:rPr>
          <w:b/>
          <w:sz w:val="24"/>
          <w:u w:val="single"/>
        </w:rPr>
      </w:pPr>
      <w:r>
        <w:rPr>
          <w:b/>
          <w:sz w:val="24"/>
          <w:u w:val="single"/>
        </w:rPr>
        <w:t>10. Sustainability :</w:t>
      </w:r>
    </w:p>
    <w:p w:rsidR="00C07D60">
      <w:pPr>
        <w:spacing w:after="0" w:line="257" w:lineRule="auto"/>
        <w:jc w:val="left"/>
        <w:rPr>
          <w:b/>
          <w:sz w:val="24"/>
          <w:u w:val="single"/>
        </w:rPr>
      </w:pPr>
    </w:p>
    <w:p w:rsidR="00C07D60">
      <w:pPr>
        <w:spacing w:after="0" w:line="257" w:lineRule="auto"/>
        <w:jc w:val="left"/>
        <w:rPr>
          <w:b/>
          <w:sz w:val="24"/>
          <w:u w:val="single"/>
        </w:rPr>
      </w:pPr>
    </w:p>
    <w:p w:rsidR="00C07D60">
      <w:pPr>
        <w:spacing w:after="0" w:line="257" w:lineRule="auto"/>
        <w:jc w:val="left"/>
        <w:rPr>
          <w:b/>
          <w:sz w:val="24"/>
          <w:u w:val="single"/>
        </w:rPr>
      </w:pPr>
    </w:p>
    <w:sectPr>
      <w:pgSz w:w="14800" w:h="14860"/>
      <w:pgMar w:top="1208" w:right="1820" w:bottom="1208" w:left="1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pStyle w:val="FootnoteText"/>
      </w:pPr>
    </w:p>
  </w:footnote>
  <w:footnote w:id="1">
    <w:p>
      <w:pPr>
        <w:pStyle w:val="FootnoteText"/>
      </w:pPr>
    </w:p>
  </w:footnote>
  <w:footnote w:id="2">
    <w:p>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81"/>
  <w:drawingGridVerticalSpacing w:val="18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C79"/>
    <w:rsid w:val="001B6783"/>
    <w:rsid w:val="0028089B"/>
    <w:rsid w:val="00440CF8"/>
    <w:rsid w:val="00527AD0"/>
    <w:rsid w:val="005D51BE"/>
    <w:rsid w:val="00717011"/>
    <w:rsid w:val="00B75C79"/>
    <w:rsid w:val="00C07D60"/>
  </w:rsids>
  <m:mathPr>
    <m:mathFont m:val="Cambria Math"/>
  </m:mathPr>
  <w:themeFontLang w:val="en-IN"/>
  <w:clrSchemeMapping w:bg1="light1" w:t1="dark1" w:bg2="light2" w:t2="dark2" w:accent1="accent1" w:accent2="accent2" w:accent3="accent3" w:accent4="accent4" w:accent5="accent5" w:accent6="accent6" w:hyperlink="hyperlink" w:followedHyperlink="followedHyperlink"/>
  <w15:docId w15:val="{57A72ACC-0C4E-4899-A157-C8DA9D8BC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uiPriority w:val="99"/>
    <w:rsid w:val="000F3DF7"/>
    <w:pPr>
      <w:spacing w:after="0" w:line="240" w:lineRule="auto"/>
    </w:pPr>
    <w:rPr>
      <w:sz w:val="20"/>
      <w:szCs w:val="20"/>
    </w:rPr>
  </w:style>
  <w:style w:type="character" w:customStyle="1" w:styleId="FootnoteTextChar">
    <w:name w:val="Footnote Text Char"/>
    <w:basedOn w:val="DefaultParagraphFont"/>
    <w:link w:val="FootnoteText"/>
    <w:uiPriority w:val="99"/>
    <w:rsid w:val="000F3DF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footnotes" Target="footnotes.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customXml" Target="../customXml/item1.xml"/><Relationship Id="rId10" Type="http://schemas.openxmlformats.org/officeDocument/2006/relationships/styles" Target="styles.xml"/><Relationship Id="rId4" Type="http://schemas.openxmlformats.org/officeDocument/2006/relationships/fontTable" Target="fontTable.xm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C273880CBB3B143B8482C01086D00A5" ma:contentTypeVersion="13" ma:contentTypeDescription="Create a new document." ma:contentTypeScope="" ma:versionID="8a2e73ae16b22958edb0962785feb1c9">
  <xsd:schema xmlns:xsd="http://www.w3.org/2001/XMLSchema" xmlns:xs="http://www.w3.org/2001/XMLSchema" xmlns:p="http://schemas.microsoft.com/office/2006/metadata/properties" xmlns:ns2="2460734d-59bd-428b-881b-8dfef55a5bef" xmlns:ns3="1d79e625-5769-4e01-b48b-1e20633cc44a" targetNamespace="http://schemas.microsoft.com/office/2006/metadata/properties" ma:root="true" ma:fieldsID="7742bf54f4bcc0a7ea51c2f584c79e87" ns2:_="" ns3:_="">
    <xsd:import namespace="2460734d-59bd-428b-881b-8dfef55a5bef"/>
    <xsd:import namespace="1d79e625-5769-4e01-b48b-1e20633cc4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60734d-59bd-428b-881b-8dfef55a5b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Reviewed" ma:index="20" nillable="true" ma:displayName="Reviewed" ma:default="0" ma:format="Dropdown" ma:internalName="Review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d79e625-5769-4e01-b48b-1e20633cc44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viewed xmlns="2460734d-59bd-428b-881b-8dfef55a5bef">false</Reviewed>
  </documentManagement>
</p:properties>
</file>

<file path=customXml/itemProps1.xml><?xml version="1.0" encoding="utf-8"?>
<ds:datastoreItem xmlns:ds="http://schemas.openxmlformats.org/officeDocument/2006/customXml" ds:itemID="{BBBD6846-5C24-4063-A4A5-0D7BACE62A02}">
  <ds:schemaRefs>
    <ds:schemaRef ds:uri="http://schemas.openxmlformats.org/officeDocument/2006/bibliography"/>
  </ds:schemaRefs>
</ds:datastoreItem>
</file>

<file path=customXml/itemProps2.xml><?xml version="1.0" encoding="utf-8"?>
<ds:datastoreItem xmlns:ds="http://schemas.openxmlformats.org/officeDocument/2006/customXml" ds:itemID="{E23B0D2F-52C3-43E3-B5B0-9C58170E010B}"/>
</file>

<file path=customXml/itemProps3.xml><?xml version="1.0" encoding="utf-8"?>
<ds:datastoreItem xmlns:ds="http://schemas.openxmlformats.org/officeDocument/2006/customXml" ds:itemID="{F4CAE3AD-C39E-495B-9F0D-39C1C61A964E}"/>
</file>

<file path=customXml/itemProps4.xml><?xml version="1.0" encoding="utf-8"?>
<ds:datastoreItem xmlns:ds="http://schemas.openxmlformats.org/officeDocument/2006/customXml" ds:itemID="{E02EE4AF-670A-4BC8-90E0-26E1C7EF6273}"/>
</file>

<file path=docProps/app.xml><?xml version="1.0" encoding="utf-8"?>
<Properties xmlns="http://schemas.openxmlformats.org/officeDocument/2006/extended-properties" xmlns:vt="http://schemas.openxmlformats.org/officeDocument/2006/docPropsVTypes">
  <Template>Normal</Template>
  <TotalTime>7</TotalTime>
  <Pages>1</Pages>
  <Words>76</Words>
  <Characters>437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Manish Birendra Rawat</cp:lastModifiedBy>
  <cp:revision>6</cp:revision>
  <dcterms:created xsi:type="dcterms:W3CDTF">2018-10-02T10:37:00Z</dcterms:created>
  <dcterms:modified xsi:type="dcterms:W3CDTF">2018-10-02T15:07:00Z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0x010100FC273880CBB3B143B8482C01086D00A5</vt:lpwstr>
  </property>
</Properties>
</file>