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27bebe5a83e74b80"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ed8b08f9d5fa46d4"/>
      <w:footerReference w:type="even" r:id="R6326fd891598456e"/>
      <w:footerReference w:type="first" r:id="R86bb91b2302841dc"/>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814675c2bdca4367"/>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be5f0dbf3284ad8"/>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2021-2025</w:t>
      </w:r>
    </w:p>
    <w:p>
      <w:pPr>
        <w:jc w:val="center"/>
      </w:pPr>
      <w:r>
        <w:rPr>
          <w:b/>
          <w:caps/>
          <w:rFonts w:ascii="[FontFamily: Name=Calibri]" w:hAnsi="[FontFamily: Name=Calibri]" w:cs="[FontFamily: Name=Calibri]" w:eastAsia="[FontFamily: Name=Calibri]"/>
          <w:sz w:val="32"/>
          <w:szCs w:val="32"/>
          <w:color w:val="009CDB"/>
        </w:rPr>
        <w:t>UN WOMEN Bosnia and Herzegovina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live a life free from violence</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UNSDCF Outcome 3. By 2025, people have access to better quality and inclusive health and social protection systems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people have access to better quality and inclusive health and social protection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3.3D:  </w:t>
            </w:r>
            <w:r>
              <w:rPr>
                <w:rFonts w:ascii="[FontFamily: Name=Calibri]" w:hAnsi="[FontFamily: Name=Calibri]" w:cs="[FontFamily: Name=Calibri]" w:eastAsia="[FontFamily: Name=Calibri]"/>
                <w:sz w:val="18"/>
                <w:szCs w:val="18"/>
              </w:rPr>
              <w:t>Number of supported service providers/first responders who provide quality services for survivors of violence against women (VAW) in line with standards of Istanbul Convention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by relevant authorities in BiH and program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Legislators and institutions have capacities to incorporate the highest level of international standards on EVAW in legislation, policies and budgets</w:t>
            </w:r>
          </w:p>
        </w:tc>
        <w:tc>
          <w:tcPr>
            <w:tcW w:w="5000" w:type="dxa"/>
          </w:tcPr>
          <w:p>
            <w:pPr/>
            <w:r>
              <w:rPr>
                <w:b/>
                <w:rFonts w:ascii="[FontFamily: Name=Calibri]" w:hAnsi="[FontFamily: Name=Calibri]" w:cs="[FontFamily: Name=Calibri]" w:eastAsia="[FontFamily: Name=Calibri]"/>
                <w:sz w:val="18"/>
                <w:szCs w:val="18"/>
              </w:rPr>
              <w:t xml:space="preserve">Indicator 3.3.1A:  </w:t>
            </w:r>
            <w:r>
              <w:rPr>
                <w:rFonts w:ascii="[FontFamily: Name=Calibri]" w:hAnsi="[FontFamily: Name=Calibri]" w:cs="[FontFamily: Name=Calibri]" w:eastAsia="[FontFamily: Name=Calibri]"/>
                <w:sz w:val="18"/>
                <w:szCs w:val="18"/>
              </w:rPr>
              <w:t>Number of VAW laws, policies and monitoring reports developed/ revised,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Beijing Platform state progress report, GREVIO official and alternative reports, Law on protection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300,934.00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305,409.00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606,343.00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girls, men and boys at community and individual level able to mobilize actors, resources and capacities to create an environment for zero tolerance to violence</w:t>
            </w:r>
          </w:p>
        </w:tc>
        <w:tc>
          <w:tcPr>
            <w:tcW w:w="5000" w:type="dxa"/>
          </w:tcPr>
          <w:p>
            <w:pPr/>
            <w:r>
              <w:rPr>
                <w:b/>
                <w:rFonts w:ascii="[FontFamily: Name=Calibri]" w:hAnsi="[FontFamily: Name=Calibri]" w:cs="[FontFamily: Name=Calibri]" w:eastAsia="[FontFamily: Name=Calibri]"/>
                <w:sz w:val="18"/>
                <w:szCs w:val="18"/>
              </w:rPr>
              <w:t xml:space="preserve">Indicator 3.3.2A:  </w:t>
            </w:r>
            <w:r>
              <w:rPr>
                <w:rFonts w:ascii="[FontFamily: Name=Calibri]" w:hAnsi="[FontFamily: Name=Calibri]" w:cs="[FontFamily: Name=Calibri]" w:eastAsia="[FontFamily: Name=Calibri]"/>
                <w:sz w:val="18"/>
                <w:szCs w:val="18"/>
              </w:rPr>
              <w:t>Number of community prevention initiatives developed and implemented by local actors (institutions, CSOs and individuals) on gender equality and violence against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325,805.00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401,414.00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727,219.00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General and specialist service providers have the capacity to deliver quality, accessible and survivor-centered services</w:t>
            </w:r>
          </w:p>
        </w:tc>
        <w:tc>
          <w:tcPr>
            <w:tcW w:w="5000" w:type="dxa"/>
          </w:tcPr>
          <w:p>
            <w:pPr/>
            <w:r>
              <w:rPr>
                <w:b/>
                <w:rFonts w:ascii="[FontFamily: Name=Calibri]" w:hAnsi="[FontFamily: Name=Calibri]" w:cs="[FontFamily: Name=Calibri]" w:eastAsia="[FontFamily: Name=Calibri]"/>
                <w:sz w:val="18"/>
                <w:szCs w:val="18"/>
              </w:rPr>
              <w:t xml:space="preserve">Indicator 3.3.3A:  </w:t>
            </w:r>
            <w:r>
              <w:rPr>
                <w:rFonts w:ascii="[FontFamily: Name=Calibri]" w:hAnsi="[FontFamily: Name=Calibri]" w:cs="[FontFamily: Name=Calibri]" w:eastAsia="[FontFamily: Name=Calibri]"/>
                <w:sz w:val="18"/>
                <w:szCs w:val="18"/>
              </w:rPr>
              <w:t>Number of improved guidelines, protocols, standard operating procedures on the provision of quality services for victims and survivors that are in line with standards of Istanbul Convention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128,755.00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194,508.00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323,263.00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3.3.6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(including those from disadvantaged groups) who have experienced discrimination or violence are empowered to advocate for and use available, accessible and quality services</w:t>
            </w:r>
          </w:p>
        </w:tc>
        <w:tc>
          <w:tcPr>
            <w:tcW w:w="5000" w:type="dxa"/>
          </w:tcPr>
          <w:p>
            <w:pPr/>
            <w:r>
              <w:rPr>
                <w:b/>
                <w:rFonts w:ascii="[FontFamily: Name=Calibri]" w:hAnsi="[FontFamily: Name=Calibri]" w:cs="[FontFamily: Name=Calibri]" w:eastAsia="[FontFamily: Name=Calibri]"/>
                <w:sz w:val="18"/>
                <w:szCs w:val="18"/>
              </w:rPr>
              <w:t xml:space="preserve">Indicator 3.3.6A:  </w:t>
            </w:r>
            <w:r>
              <w:rPr>
                <w:rFonts w:ascii="[FontFamily: Name=Calibri]" w:hAnsi="[FontFamily: Name=Calibri]" w:cs="[FontFamily: Name=Calibri]" w:eastAsia="[FontFamily: Name=Calibri]"/>
                <w:sz w:val="18"/>
                <w:szCs w:val="18"/>
              </w:rPr>
              <w:t>Percentage of total capacity development initiatives for service providers undertaken with service providers working primarily with and/or representing minority and disadvantaged groups of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Percentage of total capacity development initiatives for service providers undertaken with service providers working primarily with and/or  representing minority and disadvantaged groups of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Programme monitoring data collected through supported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3.3.6B:  </w:t>
            </w:r>
            <w:r>
              <w:rPr>
                <w:rFonts w:ascii="[FontFamily: Name=Calibri]" w:hAnsi="[FontFamily: Name=Calibri]" w:cs="[FontFamily: Name=Calibri]" w:eastAsia="[FontFamily: Name=Calibri]"/>
                <w:sz w:val="18"/>
                <w:szCs w:val="18"/>
              </w:rPr>
              <w:t>Number of protocols building of service providers to improve their response to domestic violence and violence against women in line with Istanbul Convention for delivery of support services to victims of all forms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Number of protocols building of service providers to improve their response to domestic violence and violence against women in line with Istanbul Convention for delivery of support services to victims of all forms of violence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Inventory of standard procedures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171,414.00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251,274.00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502,736.00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3.3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171,414.00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981,379.00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2,159,561.00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171,414.00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981,379.00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2,159,561.00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Gender responsive governance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Outcome 4: By 2025, people contribute to, and benefit from more accountable and transparent governance systems that deliver quality public services, and ensure rule of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people contribute to, and benefit from more accountable and transparent governance systems that deliver quality public services, and ensure rule of law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1.1A:  </w:t>
            </w:r>
            <w:r>
              <w:rPr>
                <w:rFonts w:ascii="[FontFamily: Name=Calibri]" w:hAnsi="[FontFamily: Name=Calibri]" w:cs="[FontFamily: Name=Calibri]" w:eastAsia="[FontFamily: Name=Calibri]"/>
                <w:sz w:val="18"/>
                <w:szCs w:val="18"/>
              </w:rPr>
              <w:t>Number of central and local level strategic planning and budget documents reflect gender equality concerns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strategic planning and budgeting documents already reflecting gender equality concerns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government reports, minutes from the sessions, gender action plans.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1.1B:  </w:t>
            </w:r>
            <w:r>
              <w:rPr>
                <w:rFonts w:ascii="[FontFamily: Name=Calibri]" w:hAnsi="[FontFamily: Name=Calibri]" w:cs="[FontFamily: Name=Calibri]" w:eastAsia="[FontFamily: Name=Calibri]"/>
                <w:sz w:val="18"/>
                <w:szCs w:val="18"/>
              </w:rPr>
              <w:t>SDG 5.c.1. Average status of systems to track and make public allocations for gender equality and women’s empowerment in BiH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partially</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1.1C:  </w:t>
            </w:r>
            <w:r>
              <w:rPr>
                <w:rFonts w:ascii="[FontFamily: Name=Calibri]" w:hAnsi="[FontFamily: Name=Calibri]" w:cs="[FontFamily: Name=Calibri]" w:eastAsia="[FontFamily: Name=Calibri]"/>
                <w:sz w:val="18"/>
                <w:szCs w:val="18"/>
              </w:rPr>
              <w:t>% of annual budget allocation to Gender Equality in BiH as a result of gender responsive budgeting 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Relevant institutions in BiH have increased capacities which ensures that gender-responsive policy making, budgeting and integration of EU gender equality and women’s empowerment commitments are implemented across sectors.</w:t>
            </w:r>
          </w:p>
        </w:tc>
        <w:tc>
          <w:tcPr>
            <w:tcW w:w="5000" w:type="dxa"/>
          </w:tcPr>
          <w:p>
            <w:pPr/>
            <w:r>
              <w:rPr>
                <w:b/>
                <w:rFonts w:ascii="[FontFamily: Name=Calibri]" w:hAnsi="[FontFamily: Name=Calibri]" w:cs="[FontFamily: Name=Calibri]" w:eastAsia="[FontFamily: Name=Calibri]"/>
                <w:sz w:val="18"/>
                <w:szCs w:val="18"/>
              </w:rPr>
              <w:t xml:space="preserve">Indicator 1.1.2C:  </w:t>
            </w:r>
            <w:r>
              <w:rPr>
                <w:rFonts w:ascii="[FontFamily: Name=Calibri]" w:hAnsi="[FontFamily: Name=Calibri]" w:cs="[FontFamily: Name=Calibri]" w:eastAsia="[FontFamily: Name=Calibri]"/>
                <w:sz w:val="18"/>
                <w:szCs w:val="18"/>
              </w:rPr>
              <w:t>Number of initiatives by NGEM in support of budget users on engendering the budget documents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Training modules, reports from workshops, participants lists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1.1.2D:  </w:t>
            </w:r>
            <w:r>
              <w:rPr>
                <w:rFonts w:ascii="[FontFamily: Name=Calibri]" w:hAnsi="[FontFamily: Name=Calibri]" w:cs="[FontFamily: Name=Calibri]" w:eastAsia="[FontFamily: Name=Calibri]"/>
                <w:sz w:val="18"/>
                <w:szCs w:val="18"/>
              </w:rPr>
              <w:t>Number of government officials with increased knowledge on programme budgeting, GRB, policy making and EU GE knowledge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1.1.2E:  </w:t>
            </w:r>
            <w:r>
              <w:rPr>
                <w:rFonts w:ascii="[FontFamily: Name=Calibri]" w:hAnsi="[FontFamily: Name=Calibri]" w:cs="[FontFamily: Name=Calibri]" w:eastAsia="[FontFamily: Name=Calibri]"/>
                <w:sz w:val="18"/>
                <w:szCs w:val="18"/>
              </w:rPr>
              <w:t>Number of improved guidelines and instructions issued by Ministry of Finance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 published guidelines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611,172.00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444,540.00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2,042,712.00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Selected government and political institutions in BiH have increased capacities to ensure the necessary regulatory and procedural preconditions for increased political participation of women</w:t>
            </w:r>
          </w:p>
        </w:tc>
        <w:tc>
          <w:tcPr>
            <w:tcW w:w="5000" w:type="dxa"/>
          </w:tcPr>
          <w:p>
            <w:pPr/>
            <w:r>
              <w:rPr>
                <w:b/>
                <w:rFonts w:ascii="[FontFamily: Name=Calibri]" w:hAnsi="[FontFamily: Name=Calibri]" w:cs="[FontFamily: Name=Calibri]" w:eastAsia="[FontFamily: Name=Calibri]"/>
                <w:sz w:val="18"/>
                <w:szCs w:val="18"/>
              </w:rPr>
              <w:t xml:space="preserve">Indicator 1.1.4A:  </w:t>
            </w:r>
            <w:r>
              <w:rPr>
                <w:rFonts w:ascii="[FontFamily: Name=Calibri]" w:hAnsi="[FontFamily: Name=Calibri]" w:cs="[FontFamily: Name=Calibri]" w:eastAsia="[FontFamily: Name=Calibri]"/>
                <w:sz w:val="18"/>
                <w:szCs w:val="18"/>
              </w:rPr>
              <w:t>Number of gender equality initiatives developed and/or being implemented by parliamentary bodies (Legislative Parliamentary Committees/ Women Caucus/ Speaker of Parliament’s Office/Secretariat of the Parliament),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limited reach of the Central Election Commission and Agency for Gender Equality capacity building programmes depending on the party nominations for participants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1.1.4B:  </w:t>
            </w:r>
            <w:r>
              <w:rPr>
                <w:rFonts w:ascii="[FontFamily: Name=Calibri]" w:hAnsi="[FontFamily: Name=Calibri]" w:cs="[FontFamily: Name=Calibri]" w:eastAsia="[FontFamily: Name=Calibri]"/>
                <w:sz w:val="18"/>
                <w:szCs w:val="18"/>
              </w:rPr>
              <w:t>Number of gender equality reforms developed and/or being implemented by electoral stakeholders with UN Women’s technical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by BIH Central Election Commission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xml:space="preserve">UN Women Project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institutions and selected CSOs have increased capacities and strengthened collaboration to implement and monitor implementation of international and national normative commitments</w:t>
            </w:r>
          </w:p>
        </w:tc>
        <w:tc>
          <w:tcPr>
            <w:tcW w:w="5000" w:type="dxa"/>
          </w:tcPr>
          <w:p>
            <w:pPr/>
            <w:r>
              <w:rPr>
                <w:b/>
                <w:rFonts w:ascii="[FontFamily: Name=Calibri]" w:hAnsi="[FontFamily: Name=Calibri]" w:cs="[FontFamily: Name=Calibri]" w:eastAsia="[FontFamily: Name=Calibri]"/>
                <w:sz w:val="18"/>
                <w:szCs w:val="18"/>
              </w:rPr>
              <w:t xml:space="preserve">Indicator 1.1.5A:  </w:t>
            </w:r>
            <w:r>
              <w:rPr>
                <w:rFonts w:ascii="[FontFamily: Name=Calibri]" w:hAnsi="[FontFamily: Name=Calibri]" w:cs="[FontFamily: Name=Calibri]" w:eastAsia="[FontFamily: Name=Calibri]"/>
                <w:sz w:val="18"/>
                <w:szCs w:val="18"/>
              </w:rPr>
              <w:t>Number of national reports on (a) the implementation of the SDGs from a gender perspective or (b) the status of women, men, girls and boys in the country, developed with UN 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by BIH Gender Mechanisms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 Women effectively leads, coordinates and promotes accountability for the implementation of GEWE commitments</w:t>
            </w:r>
          </w:p>
        </w:tc>
        <w:tc>
          <w:tcPr>
            <w:tcW w:w="5000" w:type="dxa"/>
          </w:tcPr>
          <w:p>
            <w:pPr/>
          </w:p>
        </w:tc>
        <w:tc>
          <w:tcPr>
            <w:tcW w:w="112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928,172.00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794,540.00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3,299,712.00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928,172.00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794,540.00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3,299,712.00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Women's Economic Empowerment </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UNSDCF Outcome 1. By 2025, people benefit from resilient, inclusive and sustainable growth ensured by the convergence of economic development and management of environment and cultural resources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people benefit from resilient, inclusive and sustainable growth ensured by the convergence of economic development and management of environment and cultural resources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Number of people who benefit from safeguarded or new jobs and improved livelihoods as a result of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legislation and statistical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Governments have improved capacities to promote employment policies that enhance women's access to decent work and promote income security</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legal, regulatory and/or policy frameworks aligned with international standards that create decent work for women developed and/or being implemented with support from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Policies in place to support women's entrepreneurship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owned businesses and women entrepreneurs have strengthened capacities and resilience</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with strengthened capacities and skills to participate in the economy, including as entrepreneurs,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up to 25 annually, receiving direct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reports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benefit from employment opportunities and education/exchange programs in tech-driven industries</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women and girls benefiting from networking and mentorship programs and improved workplace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members of the Women in ICT network</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2.1.3B:  </w:t>
            </w:r>
            <w:r>
              <w:rPr>
                <w:rFonts w:ascii="[FontFamily: Name=Calibri]" w:hAnsi="[FontFamily: Name=Calibri]" w:cs="[FontFamily: Name=Calibri]" w:eastAsia="[FontFamily: Name=Calibri]"/>
                <w:sz w:val="18"/>
                <w:szCs w:val="18"/>
              </w:rPr>
              <w:t>Number of IT companies with improved workplace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1,019,000.00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814675c2bdca4367" Type="http://schemas.openxmlformats.org/officeDocument/2006/relationships/image" Target="/word/media/238c37d8-e335-4f39-9601-34509289f475.jpeg"/><Relationship Id="Reabc22a2deb54dcd" Type="http://schemas.openxmlformats.org/officeDocument/2006/relationships/numbering" Target="/word/numbering.xml"/><Relationship Id="rId3" Type="http://schemas.openxmlformats.org/officeDocument/2006/relationships/customXml" Target="../customXml/item3.xml"/><Relationship Id="R6326fd891598456e" Type="http://schemas.openxmlformats.org/officeDocument/2006/relationships/footer" Target="/word/footer2.xml"/><Relationship Id="rId2" Type="http://schemas.openxmlformats.org/officeDocument/2006/relationships/customXml" Target="../customXml/item2.xml"/><Relationship Id="R737b8abac51a4135" Type="http://schemas.openxmlformats.org/officeDocument/2006/relationships/settings" Target="/word/settings.xml"/><Relationship Id="R9be5f0dbf3284ad8" Type="http://schemas.openxmlformats.org/officeDocument/2006/relationships/image" Target="/word/media/79a430f0-fd72-4f7d-a2ab-90ac228b25bf.jpeg"/><Relationship Id="rId1" Type="http://schemas.openxmlformats.org/officeDocument/2006/relationships/customXml" Target="../customXml/item1.xml"/><Relationship Id="Red8b08f9d5fa46d4" Type="http://schemas.openxmlformats.org/officeDocument/2006/relationships/footer" Target="/word/footer1.xml"/><Relationship Id="R86bb91b2302841dc" Type="http://schemas.openxmlformats.org/officeDocument/2006/relationships/footer" Target="/word/footer3.xml"/><Relationship Id="R31970c5d7a1f4a57" Type="http://schemas.openxmlformats.org/officeDocument/2006/relationships/styles" Target="/word/styles.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BB600333-B3B6-4295-8F1C-C21D203D2B5C}"/>
</file>

<file path=customXml/itemProps2.xml><?xml version="1.0" encoding="utf-8"?>
<ds:datastoreItem xmlns:ds="http://schemas.openxmlformats.org/officeDocument/2006/customXml" ds:itemID="{FEE2638B-00DE-4D07-812E-2D22FB257991}"/>
</file>

<file path=customXml/itemProps3.xml><?xml version="1.0" encoding="utf-8"?>
<ds:datastoreItem xmlns:ds="http://schemas.openxmlformats.org/officeDocument/2006/customXml" ds:itemID="{8CB4B154-E9DD-40BA-B562-2D4EDD5764B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