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962e9cbce5d74b00"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e0aa2306bf14298"/>
      <w:footerReference w:type="even" r:id="R885db8faa99342d3"/>
      <w:footerReference w:type="first" r:id="R35c40bf251fc45fa"/>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253a1d74fa4d98"/>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0ac69854f14330"/>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Bolivia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Gender-responsive and inclusive governance systems and institutions are key to ensuring the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realization of women’s rights and the achievement of gender equality. Gender-response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governance depends on: ensuring gender equality is reflected in planning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budgeting; removing discriminatory laws and ensuring systems of recourse for women whose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rights are not respected; giving women equal say in decision making processes; and ensuring that decision making is properly informed by evidence and data.</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Outcome 4.2 of the UNDAF dedicated to increasing gender equality in Bolivia (in Spanish: Se ha fortalecido el ejercicio de los derechos de las mujeres, niñas, niños y adolescentes, promoviendo una vida sin violencia, la formulación e implementación de leyes, políticas y la provisión de servicios y presupuestos sensibles a género y derechos de la niñez, acorde con los compromisos internacionales que promueven la igualdad de género y generacional, la descolonización y la despatriarcalización). This outcome contributes in particular to SDGs 1, 5 and 10.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State approves national legislation and implements public policies that promote intercultural and parity democracy and the full enjoyment of women’s rights, including indigenous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legislative frameworks that promote gender balance in elections and decision-making bodies.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Supreme Electoral Tribunal TSE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Number of gender equality reforms developed and/or being implemented by electoral stakeholders with UN-Women’s technical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Observatory of Democratic Parity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Law 243 against harassment and gender-based political violence monitored and implemented</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women leaders, candidates and aspirants with strengthened capacities to engage in political life,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Women’s Organizations ACOBOL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gender equality initiatives developed and/or being implemented by parliamentary bodies (Legislative Parliamentary Committees/ Women Caucus/ Speaker of Parliament’s Office/Secretariat of the Parliament),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Plurinational Legislative Assembly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Official Gazette of the Plurinational State.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initiatives developed and/or being implemented to monitor violence against women in politics,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Plurinational Legislative Assembly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68,266.00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197,733.00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166,266.00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2,271,733.00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capacities of female candidates and women politicians at national and local levels to apply leadership skills.</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elected women and women politicians  at the national and local level with the ability to apply leadership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Women’s Organizations ACOBOL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women leaders, candidates and aspirants with strengthened capacities to engage in political life,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Women’s Organizations (ACOBOL,AMADBOL)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plural political dialogues incorporating the women's rights agenda in the electoral  and Covid 19 response context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 Event with guests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 National Forum of Indigenous Women Candidates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 National Forum of Young Candidates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 Dialogue Forums in each Department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Memories of the Dialogues; Admin file Electoral Body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705,984.00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86,266.00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186,266.00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2,977,717.00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86,266.00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186,266.00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2,977,717.00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capacity to enjoy the rights, and support the rights of their families and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is fundamentally founded on their access to economic resources.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depends on an enabling policy environment that addresses issues such as unpaid care and access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to land. It also requires opportunities for entrepreneurship and decent work that provides jobs,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opportunity to accumulate assets and enhanced income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economic empowerment is key to attainment of all SDGs. UN-Women’s work in this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areas is also guided by Agreed Conclusions of the CSW on this issue and the work of the Secretary-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General’s High Level Panel on Women’s Economic Empowerment.</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4.2 of the UNDAF dedicated to increasing gender equality in Bolivia (in Spanish: Se ha fortalecido el ejercicio de los derechos de las mujeres, niñas, niños y adolescentes, promoviendo una vida sin violencia, la formulación e implementación de leyes, políticas y la provisión de servicios y presupuestos sensibles a género y derechos de la niñez, acorde con los compromisos internacionales que promueven la igualdad de género y generacional, la descolonización y la despatriarcalización). This outcome contributes in particular to SDGs 1, 5 and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Bolivian women, especially rural and indigenous women, have access to productive resources and assets, including access to renewable energy.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new businesses led and managed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Productive Development and Plural Economy.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SwissContact.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RIMISP.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policies promote decent work and social protection for women</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women with increased access to appropriate technologies, machinery, fertilizers, improved seeds, pest control, etc. for sustainable agriculture.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Productive Development and Plural Economy.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SwissContact.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RIMISP.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Percentage increase of women-led firms (medium scale &amp; microenterprises) in rural areas targeted by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INE: Economic Census Continuous Employment Survey, National Employment and Income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rural women supported to gain access, use and/or control of productive resources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UN-Women’s Results Management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2.2.1D:  </w:t>
            </w:r>
            <w:r>
              <w:rPr>
                <w:rFonts w:ascii="[FontFamily: Name=Calibri]" w:hAnsi="[FontFamily: Name=Calibri]" w:cs="[FontFamily: Name=Calibri]" w:eastAsia="[FontFamily: Name=Calibri]"/>
                <w:sz w:val="18"/>
                <w:szCs w:val="18"/>
              </w:rPr>
              <w:t>Number of women accessing financial services and products in response to the COVID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Administrative registry PROFIN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2.2.1E:  </w:t>
            </w:r>
            <w:r>
              <w:rPr>
                <w:rFonts w:ascii="[FontFamily: Name=Calibri]" w:hAnsi="[FontFamily: Name=Calibri]" w:cs="[FontFamily: Name=Calibri]" w:eastAsia="[FontFamily: Name=Calibri]"/>
                <w:sz w:val="18"/>
                <w:szCs w:val="18"/>
              </w:rPr>
              <w:t>Number of women with strengthened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capacities and skills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MTF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2.2.1F:  </w:t>
            </w:r>
            <w:r>
              <w:rPr>
                <w:rFonts w:ascii="[FontFamily: Name=Calibri]" w:hAnsi="[FontFamily: Name=Calibri]" w:cs="[FontFamily: Name=Calibri]" w:eastAsia="[FontFamily: Name=Calibri]"/>
                <w:sz w:val="18"/>
                <w:szCs w:val="18"/>
              </w:rPr>
              <w:t>Number of legal, regulatory and/or policy frameworks in support of gender-responsive social protection systems that are developed and/or being implemented with support from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MPTF Proramme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2.2.1G:  </w:t>
            </w:r>
            <w:r>
              <w:rPr>
                <w:rFonts w:ascii="[FontFamily: Name=Calibri]" w:hAnsi="[FontFamily: Name=Calibri]" w:cs="[FontFamily: Name=Calibri]" w:eastAsia="[FontFamily: Name=Calibri]"/>
                <w:sz w:val="18"/>
                <w:szCs w:val="18"/>
              </w:rPr>
              <w:t>Number of national and international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signatories to the Women Empowerment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Global Compact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2.2.1H:  </w:t>
            </w:r>
            <w:r>
              <w:rPr>
                <w:rFonts w:ascii="[FontFamily: Name=Calibri]" w:hAnsi="[FontFamily: Name=Calibri]" w:cs="[FontFamily: Name=Calibri]" w:eastAsia="[FontFamily: Name=Calibri]"/>
                <w:sz w:val="18"/>
                <w:szCs w:val="18"/>
              </w:rPr>
              <w:t>Number of countries with strengthened capacities to undertake gender-responsive socio-economic impact assessments in response to the COVID-19 crisis, with a focus on at-risk populations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COVID 19 SP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Servicio Plurinacional de la Mujer y Despatriarcalización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985,703.00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86,242.00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679,602.00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2,113,953.00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278,742.00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4,537,505.00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985,703.00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86,242.00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679,602.00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2,113,953.00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278,742.00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4,537,505.00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985,703.00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408,247.00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86,242.00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679,602.00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2,113,953.00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278,742.00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4,537,505.00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Prevalence of violence against women and girls remains alarmingly high. It destroys lives not only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of those subjected to it, but also their families and communities. It places a strain on economies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societies.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UN-Women’s work is also guided, inter alia,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the Agreed Conclusions of CSW 57. UN-Women works within the context of the Joint UN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Prevention Framework</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4.2 of the UNDAF dedicated to increasing gender equality in Bolivia (in Spanish: Se ha fortalecido el ejercicio de los derechos de las mujeres, niñas, niños y adolescentes, promoviendo una vida sin violencia, la formulación e implementación de leyes, políticas y la provisión de servicios y presupuestos sensibles a género y derechos de la niñez, acorde con los compromisos internacionales que promueven la igualdad de género y generacional, la descolonización y la despatriarcalización). This outcome contributes in particular to SDGs 1, 5 and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victims of violence have increased access to quality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women who have experienced physical or sexual violence who seek help, at the police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46668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FELCV</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Prosecutor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SIPASSE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Number of guidelines, protocols, standard operating procedures (in line with best practices) on the provision of quality services for victims and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UN-Women’s Results Management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legislation (the Comprehensive Law 348 to fight violence against women) and related policies implemented with UNW's technical assistance, advocacy and partnership building (including inter-agency coordination).</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National Action Plans and Strategies to end violence against women that have a component that addresses social norms, attitudes, and behavior transformation, developed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Vice Ministry of equal opportunities reports and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guidelines, protocols, standard operating procedures (in line with best practices) on the provision of quality services for victims and survivors in the justice system in coordination with the Life without Violence Program (UNW-UNFPA).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Vice Ministry of equal opportunities reports and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Ministry of Justice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Number of countries that have adopted or strengthened legislation addressing violence against women and girls in private and public spaces that is (1) in line with best practices (2) is allocated a budget and (3) has an oversight mechanism for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Cualitative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SDG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3.1.2D:  </w:t>
            </w:r>
            <w:r>
              <w:rPr>
                <w:rFonts w:ascii="[FontFamily: Name=Calibri]" w:hAnsi="[FontFamily: Name=Calibri]" w:cs="[FontFamily: Name=Calibri]" w:eastAsia="[FontFamily: Name=Calibri]"/>
                <w:sz w:val="18"/>
                <w:szCs w:val="18"/>
              </w:rPr>
              <w:t xml:space="preserve">Number of countries that have, with UN-Women’s support, put in place measures to address gender-based violence (GBV) during the COVID-19 pandemic, which: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 integrate violence prevention and response into COVID-19 response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 raise awareness through advocacy and campaigns, with targeted messages to both women and 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 provide options for women to report abuse and seek help without alerting perpetrators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 ensure continued functioning of shelters for victims of violence and expand their capacity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 ensure women’s access to justice through police and justice response to address impunity of perpetrators and protect women and their children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Cualitative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Servicio Plurinacional de la Mujer y Despatriarcalización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342,835.00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74,345.00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17,165.00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102,036.00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194,862.00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194,165.00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831,152.00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cities and other settings have safe and empowering public spaces for women and girls</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safe cities/safe public spaces partnerships in place that promote women in decision-making positions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Municipalities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37,300.00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174,083.00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94,800.00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342,835.00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74,345.00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29,665.00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135,536.00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368,945.00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288,965.00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1,038,735.00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342,835.00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74,345.00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29,665.00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135,536.00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368,945.00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288,965.00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1,038,735.00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de0ac69854f14330" Type="http://schemas.openxmlformats.org/officeDocument/2006/relationships/image" Target="/word/media/2e43a62b-8ae2-4e7f-bd91-8051456a35f7.jpeg"/><Relationship Id="R35c40bf251fc45fa" Type="http://schemas.openxmlformats.org/officeDocument/2006/relationships/footer" Target="/word/footer3.xml"/><Relationship Id="Rf4253a1d74fa4d98" Type="http://schemas.openxmlformats.org/officeDocument/2006/relationships/image" Target="/word/media/8dfec986-5348-4264-83e7-b0460b6abe1d.jpeg"/><Relationship Id="R885db8faa99342d3" Type="http://schemas.openxmlformats.org/officeDocument/2006/relationships/footer" Target="/word/footer2.xml"/><Relationship Id="rId3" Type="http://schemas.openxmlformats.org/officeDocument/2006/relationships/customXml" Target="../customXml/item3.xml"/><Relationship Id="R6d417f815bb24f24" Type="http://schemas.openxmlformats.org/officeDocument/2006/relationships/numbering" Target="/word/numbering.xml"/><Relationship Id="R62a14b99abcc467b" Type="http://schemas.openxmlformats.org/officeDocument/2006/relationships/settings" Target="/word/settings.xml"/><Relationship Id="rId2" Type="http://schemas.openxmlformats.org/officeDocument/2006/relationships/customXml" Target="../customXml/item2.xml"/><Relationship Id="rId1" Type="http://schemas.openxmlformats.org/officeDocument/2006/relationships/customXml" Target="../customXml/item1.xml"/><Relationship Id="R2374bf5e2be14e22" Type="http://schemas.openxmlformats.org/officeDocument/2006/relationships/styles" Target="/word/styles.xml"/><Relationship Id="R8e0aa2306bf14298"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AD00C6D7-E78F-4ADD-966D-6FC7EFF50EB6}"/>
</file>

<file path=customXml/itemProps2.xml><?xml version="1.0" encoding="utf-8"?>
<ds:datastoreItem xmlns:ds="http://schemas.openxmlformats.org/officeDocument/2006/customXml" ds:itemID="{C2DA7931-57AA-4850-83F5-482C4FCAEFDA}"/>
</file>

<file path=customXml/itemProps3.xml><?xml version="1.0" encoding="utf-8"?>
<ds:datastoreItem xmlns:ds="http://schemas.openxmlformats.org/officeDocument/2006/customXml" ds:itemID="{A5CECBF1-AA50-47A8-AE39-3B6A6F65C22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