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52c4699f9576429d"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788fdbd43c944429"/>
      <w:footerReference w:type="even" r:id="R72b91678aef94c48"/>
      <w:footerReference w:type="first" r:id="Rbb45aa028b664221"/>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77a1373d1c47b8"/>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33058377dc408b"/>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Barbados MCO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Caribbean people benefit from gender responsive policies and legislation and healthy gender relations.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MSCDF Outcome 3: National governments and regional institutions use relevant data to design and adopt laws and policies to eliminate discrimination, address structural inequalities and ensure the advancement of those at risk of being left furthest behind.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institutions, national governments and civil society in CARICOM generate, analyse, publicise and utilise gender statistics to design and adopt laws, systems and policies to eliminate discrimination, address structural inequalities and promote the adoption of attitudes, norms and practices that advance gender equality and women’s empowerment in the Caribbean.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countries reporting on GEI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Number of countries receiving support from UN Women in developing their voluntary SDG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capacity of the UN, regional and national systems to produce and analyse gender statistics to measure progress on the SDGs.</w:t>
            </w:r>
          </w:p>
        </w:tc>
        <w:tc>
          <w:tcPr>
            <w:tcW w:w="5000" w:type="dxa"/>
          </w:tcPr>
          <w:p>
            <w:pPr/>
          </w:p>
        </w:tc>
        <w:tc>
          <w:tcPr>
            <w:tcW w:w="1420" w:type="dxa"/>
          </w:tcPr>
          <w:p>
            <w:pPr/>
            <w:r>
              <w:rPr>
                <w:rFonts w:ascii="[FontFamily: Name=Calibri]" w:hAnsi="[FontFamily: Name=Calibri]" w:cs="[FontFamily: Name=Calibri]" w:eastAsia="[FontFamily: Name=Calibri]"/>
                <w:sz w:val="18"/>
                <w:szCs w:val="18"/>
              </w:rPr>
              <w:t>423,187.00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1,923,187.00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of and collaboration between Regional Institutions, NGMs and CSOs (including FBOs) to mainstream gender throughout regional and national policies and programmes.</w:t>
            </w:r>
          </w:p>
        </w:tc>
        <w:tc>
          <w:tcPr>
            <w:tcW w:w="5000" w:type="dxa"/>
          </w:tcPr>
          <w:p>
            <w:pPr/>
          </w:p>
        </w:tc>
        <w:tc>
          <w:tcPr>
            <w:tcW w:w="14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capacities among the media, sports and members of the creative and cultural industries and the women’s movement in CARICOM to report and promote positive social norms that promote gender equality and women’s empowerment.</w:t>
            </w:r>
          </w:p>
        </w:tc>
        <w:tc>
          <w:tcPr>
            <w:tcW w:w="5000" w:type="dxa"/>
          </w:tcPr>
          <w:p>
            <w:pPr/>
          </w:p>
        </w:tc>
        <w:tc>
          <w:tcPr>
            <w:tcW w:w="14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420" w:type="dxa"/>
          </w:tcPr>
          <w:p>
            <w:pPr/>
            <w:r>
              <w:rPr>
                <w:rFonts w:ascii="[FontFamily: Name=Calibri]" w:hAnsi="[FontFamily: Name=Calibri]" w:cs="[FontFamily: Name=Calibri]" w:eastAsia="[FontFamily: Name=Calibri]"/>
                <w:sz w:val="18"/>
                <w:szCs w:val="18"/>
              </w:rPr>
              <w:t>558,187.00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2,373,187.00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420" w:type="dxa"/>
          </w:tcPr>
          <w:p>
            <w:pPr/>
            <w:r>
              <w:rPr>
                <w:rFonts w:ascii="[FontFamily: Name=Calibri]" w:hAnsi="[FontFamily: Name=Calibri]" w:cs="[FontFamily: Name=Calibri]" w:eastAsia="[FontFamily: Name=Calibri]"/>
                <w:sz w:val="18"/>
                <w:szCs w:val="18"/>
              </w:rPr>
              <w:t>558,187.00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2,373,187.00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Caribbean women are economically empowered</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More productive and competitive business ecosystems designed to improve people’s standards of living (MSCDF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productive and competitive business ecosystems designed to improve people’s standards of living (MSCDF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In the reporting year,  what percentage of smallholder women farmers participating in the project have gained legal access, use and/or control over the land?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UNTFHS Project documents and evaluations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competitiveness and resilience among MSMEs owned by marginalised groups (especially those in the agri-business, energy, care, orange and silver economies).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527,400.00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851,620.00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202,743.00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1,956,863.00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funds and capacities among FIs to contribute to gender-responsive innovative financing.</w:t>
            </w:r>
          </w:p>
        </w:tc>
        <w:tc>
          <w:tcPr>
            <w:tcW w:w="5000" w:type="dxa"/>
          </w:tcPr>
          <w:p>
            <w:pP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Indicator 2.2.1C: % of women entrepreneurs that report improvement in economic opportunities as a result of UNW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 Reports and need-assessments incorporated into project activities.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398,100.00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444,700.00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842,800.00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capacities across the private sector and governments to create an enabling environment for gender equality and women’s empowerment, including but not limited to gender responsive procurement policies.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Indicator 2.2.1C: % of women entrepreneurs that report improved access to financing from FIs.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 Reports and need-assessments incorporated into project activities.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178,500.00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in the Caribbean equitably access and utilize universal, quality and shock-responsive, social protection, education, health and care services. (Outcome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and integrated government and CSO programmes to address unpaid care work including subsidized child and elder-care systems among CARICOM countries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1,046,764.00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2,931,264.00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integration of social protection programmes into referral pathways for VAW survivors/victims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protection systems for workers in the paid care economy [i.e., domestic workers, day care and elder care workers.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82,500.00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1,362,300.00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1,351,620.00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552,743.00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227,500.00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4,370,663.00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1,116,764.00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1,699,500.00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5,316,264.00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82,500.00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2,220,764.00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3,061,800.00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3,101,620.00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1,302,743.00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282,500.00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9,686,927.00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Caribbean women and girls live free from violence in resilience inclusive smart and safe spaces.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Regional and national laws, policies, systems and institutions improve access to justice and promote peace, social cohesion and security (MSCDF Outcome 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and national laws, policies, systems and institutions improve access to justice and promote peace, social cohesion and security (MSCDF Outcome 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Spotlight Indicator 1.1 Proportion of target countries with laws and policies on VAWG, including family violence, that adequately respond to the rights of all women and girls, are evidence-based and in line with international HR standards and treaty bodies’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3.2B:  </w:t>
            </w:r>
            <w:r>
              <w:rPr>
                <w:rFonts w:ascii="[FontFamily: Name=Calibri]" w:hAnsi="[FontFamily: Name=Calibri]" w:cs="[FontFamily: Name=Calibri]" w:eastAsia="[FontFamily: Name=Calibri]"/>
                <w:sz w:val="18"/>
                <w:szCs w:val="18"/>
              </w:rPr>
              <w:t>Spotlight Indicator 2.1 Proportion of countries that have functioning national and/or sub-national coordination and oversight mechanisms at the highest levels for addressing VAWG, including family violence, that include representation from marginalized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3.2C:  </w:t>
            </w:r>
            <w:r>
              <w:rPr>
                <w:rFonts w:ascii="[FontFamily: Name=Calibri]" w:hAnsi="[FontFamily: Name=Calibri]" w:cs="[FontFamily: Name=Calibri]" w:eastAsia="[FontFamily: Name=Calibri]"/>
                <w:sz w:val="18"/>
                <w:szCs w:val="18"/>
              </w:rPr>
              <w:t>Spotlight Indicator 3.3 Proportion of countries with at least 3 evidence-based, transformative/comprehensive prevention strategies/programmes that address the rights of those marginalized and are developed in a participatory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3.2D:  </w:t>
            </w:r>
            <w:r>
              <w:rPr>
                <w:rFonts w:ascii="[FontFamily: Name=Calibri]" w:hAnsi="[FontFamily: Name=Calibri]" w:cs="[FontFamily: Name=Calibri]" w:eastAsia="[FontFamily: Name=Calibri]"/>
                <w:sz w:val="18"/>
                <w:szCs w:val="18"/>
              </w:rPr>
              <w:t>Spotlight Indicator 4.3 Proportion of countries which have a dedicated management information system (MIS) on VAWG, including family violence, at the national level which can measure the number of women/girl survivors of violence (and their families, when relevant) that have received quality, essential multi-sectoral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3.2E:  </w:t>
            </w:r>
            <w:r>
              <w:rPr>
                <w:rFonts w:ascii="[FontFamily: Name=Calibri]" w:hAnsi="[FontFamily: Name=Calibri]" w:cs="[FontFamily: Name=Calibri]" w:eastAsia="[FontFamily: Name=Calibri]"/>
                <w:sz w:val="18"/>
                <w:szCs w:val="18"/>
              </w:rPr>
              <w:t>Spotlight Indicator 5.2 Proportion of countries with publicly available data, reported on a regular basis, on various forms of VAWG, including family violence, at country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Spotlight Project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3.2F:  </w:t>
            </w:r>
            <w:r>
              <w:rPr>
                <w:rFonts w:ascii="[FontFamily: Name=Calibri]" w:hAnsi="[FontFamily: Name=Calibri]" w:cs="[FontFamily: Name=Calibri]" w:eastAsia="[FontFamily: Name=Calibri]"/>
                <w:sz w:val="18"/>
                <w:szCs w:val="18"/>
              </w:rPr>
              <w:t>Spotlight Indicator 6.2 Proportion of countries where there is an increased use of social accountability mechanisms by civil society in order to monitor and engage in efforts to end VAWG, including family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3.2G:  </w:t>
            </w:r>
            <w:r>
              <w:rPr>
                <w:rFonts w:ascii="[FontFamily: Name=Calibri]" w:hAnsi="[FontFamily: Name=Calibri]" w:cs="[FontFamily: Name=Calibri]" w:eastAsia="[FontFamily: Name=Calibri]"/>
                <w:sz w:val="18"/>
                <w:szCs w:val="18"/>
              </w:rPr>
              <w:t>UBRAF Indicator Number of communities civil society organizations and state institutions use tools and community education and psycho-social methodologies to prevent violence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UBRAF</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1:  Legislative and policy frameworks, based on evidence and in line with international human rights standards, on all forms of violence against women and girls and harmful practices are in place and translated into plans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1.1.1 Number of draft new and/or strengthened laws and/or policies on ending VAWG and/or gender equality and non-discrimination developed that respond to the rights of women and girls facing intersecting and multiple forms of discrimination and are in line with international HR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191,712.00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191,712.00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2: National and sub-national systems and institutions plan, fund and deliver evidence-based programmes that prevent and respond to violence against women and girls and harmful practices, including in other sectors</w:t>
            </w:r>
          </w:p>
        </w:tc>
        <w:tc>
          <w:tcPr>
            <w:tcW w:w="5000" w:type="dxa"/>
          </w:tcPr>
          <w:p>
            <w:pP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Spotlight Indicator 2.1.1 Number of institutions that develop strategies, plans and/or programmes, relevant  to the during and post COVID-19 context) to prevent and respond to VAWG, including for those groups of women and girls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3.2.2C:  </w:t>
            </w:r>
            <w:r>
              <w:rPr>
                <w:rFonts w:ascii="[FontFamily: Name=Calibri]" w:hAnsi="[FontFamily: Name=Calibri]" w:cs="[FontFamily: Name=Calibri]" w:eastAsia="[FontFamily: Name=Calibri]"/>
                <w:sz w:val="18"/>
                <w:szCs w:val="18"/>
              </w:rPr>
              <w:t>Spotlight Indicator 3.2.3 Number of men and boys who regularly attend gender transformative programmes addressing violent masculinities and men’s violence towards women and girls in community centres, schools and other relevant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3.2.2D:  </w:t>
            </w:r>
            <w:r>
              <w:rPr>
                <w:rFonts w:ascii="[FontFamily: Name=Calibri]" w:hAnsi="[FontFamily: Name=Calibri]" w:cs="[FontFamily: Name=Calibri]" w:eastAsia="[FontFamily: Name=Calibri]"/>
                <w:sz w:val="18"/>
                <w:szCs w:val="18"/>
              </w:rPr>
              <w:t>Spotlight Indicator 3.2.4 Number of communities with advocacy platforms established and/or strengthened to promote gender-equitable norms, attitudes and behaviours, including in relation to women and girls’ sexuality and reproduction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612,200.00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652,200.00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3: Gender inequitable social norms, attitudes and behaviours change at community and individual levels to prevent violence against women and girls and harmful practices (Merged with MCO Caribbean Output 3.1.1.- More communities, civil society organisations and state institutions use tools and community education and psycho-social support methodologies to prevent all forms of violence against women and girls)</w:t>
            </w:r>
          </w:p>
        </w:tc>
        <w:tc>
          <w:tcPr>
            <w:tcW w:w="5000" w:type="dxa"/>
          </w:tcPr>
          <w:p>
            <w:pPr/>
            <w:r>
              <w:rPr>
                <w:b/>
                <w:rFonts w:ascii="[FontFamily: Name=Calibri]" w:hAnsi="[FontFamily: Name=Calibri]" w:cs="[FontFamily: Name=Calibri]" w:eastAsia="[FontFamily: Name=Calibri]"/>
                <w:sz w:val="18"/>
                <w:szCs w:val="18"/>
              </w:rPr>
              <w:t xml:space="preserve">Indicator 3.2.3A:  </w:t>
            </w:r>
            <w:r>
              <w:rPr>
                <w:rFonts w:ascii="[FontFamily: Name=Calibri]" w:hAnsi="[FontFamily: Name=Calibri]" w:cs="[FontFamily: Name=Calibri]" w:eastAsia="[FontFamily: Name=Calibri]"/>
                <w:sz w:val="18"/>
                <w:szCs w:val="18"/>
              </w:rPr>
              <w:t>Spotlight Indicator 3.1.2 Number of young women and girls, young men and boys who participate in in and out of school programmes that promote gender-equitable norms, attitudes and behaviours and exercise of rights, including reproductive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3.2.3B:  </w:t>
            </w:r>
            <w:r>
              <w:rPr>
                <w:rFonts w:ascii="[FontFamily: Name=Calibri]" w:hAnsi="[FontFamily: Name=Calibri]" w:cs="[FontFamily: Name=Calibri]" w:eastAsia="[FontFamily: Name=Calibri]"/>
                <w:sz w:val="18"/>
                <w:szCs w:val="18"/>
              </w:rPr>
              <w:t>Spotlight Indicator 3.2.2 Number of people reached by campaigns challenging harmful social norms and gender stereotyping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40,179.00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851,244.00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856,244.00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4: Women and girls who experience violence and harmful practices use available, accessible, acceptable, and quality essential services including for long term recovery from violence (merged with UN Women MCO 3.1.2 More Caribbean countries develop and implement multi-sectoral NAPS on VAWG in line with best practices on prevention and the provision of quality essential services)</w:t>
            </w:r>
          </w:p>
        </w:tc>
        <w:tc>
          <w:tcPr>
            <w:tcW w:w="5000" w:type="dxa"/>
          </w:tcPr>
          <w:p>
            <w:pPr/>
            <w:r>
              <w:rPr>
                <w:b/>
                <w:rFonts w:ascii="[FontFamily: Name=Calibri]" w:hAnsi="[FontFamily: Name=Calibri]" w:cs="[FontFamily: Name=Calibri]" w:eastAsia="[FontFamily: Name=Calibri]"/>
                <w:sz w:val="18"/>
                <w:szCs w:val="18"/>
              </w:rPr>
              <w:t xml:space="preserve">Indicator 3.2.4A:  </w:t>
            </w:r>
            <w:r>
              <w:rPr>
                <w:rFonts w:ascii="[FontFamily: Name=Calibri]" w:hAnsi="[FontFamily: Name=Calibri]" w:cs="[FontFamily: Name=Calibri]" w:eastAsia="[FontFamily: Name=Calibri]"/>
                <w:sz w:val="18"/>
                <w:szCs w:val="18"/>
              </w:rPr>
              <w:t>Spotlight Indicator 4.1.4 Number of government service providers who have increased knowledge and capacities to deliver quality and coordinated essential services to women and girls’ survivors of violence, especially in a post COVID-19 space.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3.2.4B:  </w:t>
            </w:r>
            <w:r>
              <w:rPr>
                <w:rFonts w:ascii="[FontFamily: Name=Calibri]" w:hAnsi="[FontFamily: Name=Calibri]" w:cs="[FontFamily: Name=Calibri]" w:eastAsia="[FontFamily: Name=Calibri]"/>
                <w:sz w:val="18"/>
                <w:szCs w:val="18"/>
              </w:rPr>
              <w:t># of Public education campaigns around GBV in Jamaica executed according to plan and schedule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UBRAF</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5: Quality, disaggregated and globally comparable data on different forms of violence against women and girls and harmful practices, collected, analysed and used in line with international standards to inform laws, policies and programmes</w:t>
            </w:r>
          </w:p>
        </w:tc>
        <w:tc>
          <w:tcPr>
            <w:tcW w:w="5000" w:type="dxa"/>
          </w:tcPr>
          <w:p>
            <w:pPr/>
            <w:r>
              <w:rPr>
                <w:b/>
                <w:rFonts w:ascii="[FontFamily: Name=Calibri]" w:hAnsi="[FontFamily: Name=Calibri]" w:cs="[FontFamily: Name=Calibri]" w:eastAsia="[FontFamily: Name=Calibri]"/>
                <w:sz w:val="18"/>
                <w:szCs w:val="18"/>
              </w:rPr>
              <w:t xml:space="preserve">Indicator 3.2.5A:  </w:t>
            </w:r>
            <w:r>
              <w:rPr>
                <w:rFonts w:ascii="[FontFamily: Name=Calibri]" w:hAnsi="[FontFamily: Name=Calibri]" w:cs="[FontFamily: Name=Calibri]" w:eastAsia="[FontFamily: Name=Calibri]"/>
                <w:sz w:val="18"/>
                <w:szCs w:val="18"/>
              </w:rPr>
              <w:t>Spotlight Indicator 5.2.3 Number of government personnel, including service providers, from different sectors with strengthened capacities on analysis and dissemination of prevalence and/or incidence data on VAWG, including family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3.2.5B:  </w:t>
            </w:r>
            <w:r>
              <w:rPr>
                <w:rFonts w:ascii="[FontFamily: Name=Calibri]" w:hAnsi="[FontFamily: Name=Calibri]" w:cs="[FontFamily: Name=Calibri]" w:eastAsia="[FontFamily: Name=Calibri]"/>
                <w:sz w:val="18"/>
                <w:szCs w:val="18"/>
              </w:rPr>
              <w:t>Spotlight Indicator 5.2.4 Number of women’s rights advocates with strengthened capacities on analysis and dissemination of prevalence and/or incidence data on VAWG, including family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340,622.00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1,520,622.00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6: Women's rights groups, autonomous social movements and relevant CSOs, including those representing youth and groups facing multiple and intersecting forms of discrimination/marginalization, more effectively influence and advance progress on GEWE and ending VAWG</w:t>
            </w:r>
          </w:p>
        </w:tc>
        <w:tc>
          <w:tcPr>
            <w:tcW w:w="5000" w:type="dxa"/>
          </w:tcPr>
          <w:p>
            <w:pPr/>
            <w:r>
              <w:rPr>
                <w:b/>
                <w:rFonts w:ascii="[FontFamily: Name=Calibri]" w:hAnsi="[FontFamily: Name=Calibri]" w:cs="[FontFamily: Name=Calibri]" w:eastAsia="[FontFamily: Name=Calibri]"/>
                <w:sz w:val="18"/>
                <w:szCs w:val="18"/>
              </w:rPr>
              <w:t xml:space="preserve">Indicator 3.2.6A:  </w:t>
            </w:r>
            <w:r>
              <w:rPr>
                <w:rFonts w:ascii="[FontFamily: Name=Calibri]" w:hAnsi="[FontFamily: Name=Calibri]" w:cs="[FontFamily: Name=Calibri]" w:eastAsia="[FontFamily: Name=Calibri]"/>
                <w:sz w:val="18"/>
                <w:szCs w:val="18"/>
              </w:rPr>
              <w:t>Spotlight Indicator 6.1.4 Number of women's rights groups, networks and relevant CSOs with strengthened capacities to network, partner and jointly advocate for progress on ending VAWG including family violence at local, national, regional and global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3.2.6B:  </w:t>
            </w:r>
            <w:r>
              <w:rPr>
                <w:rFonts w:ascii="[FontFamily: Name=Calibri]" w:hAnsi="[FontFamily: Name=Calibri]" w:cs="[FontFamily: Name=Calibri]" w:eastAsia="[FontFamily: Name=Calibri]"/>
                <w:sz w:val="18"/>
                <w:szCs w:val="18"/>
              </w:rPr>
              <w:t>Spotlight Indicator 6.2.1 Number of supported women's right groups and relevant CSOs using the appropriate accountability mechanisms  for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3.2.6C:  </w:t>
            </w:r>
            <w:r>
              <w:rPr>
                <w:rFonts w:ascii="[FontFamily: Name=Calibri]" w:hAnsi="[FontFamily: Name=Calibri]" w:cs="[FontFamily: Name=Calibri]" w:eastAsia="[FontFamily: Name=Calibri]"/>
                <w:sz w:val="18"/>
                <w:szCs w:val="18"/>
              </w:rPr>
              <w:t>Spotlight Indicator 6.3.1 Number of women's rights groups and relevant CSOs representing groups facing multiple and intersecting forms of discrimination/marginalization that have strengthened capacities and support to design, implement, monitor and evaluate their own programmes on ending VAWG, including family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1,339,385.00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1,707,885.00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Direct management and support Costs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973,076.00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326,321.00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1,299,397.00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4.1 Increased capacity among duty bearers (justice, CSOs) to manage GBV (sexual abuse, IPV and Trafficking) cases [including cybercrimes] and promote women’s empowerment.</w:t>
            </w:r>
          </w:p>
        </w:tc>
        <w:tc>
          <w:tcPr>
            <w:tcW w:w="5000" w:type="dxa"/>
          </w:tcPr>
          <w:p>
            <w:pP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4.4  Improved accessibility and safety of public spaces for women and girls.</w:t>
            </w:r>
          </w:p>
        </w:tc>
        <w:tc>
          <w:tcPr>
            <w:tcW w:w="5000" w:type="dxa"/>
          </w:tcPr>
          <w:p>
            <w:pPr/>
            <w:r>
              <w:rPr>
                <w:b/>
                <w:rFonts w:ascii="[FontFamily: Name=Calibri]" w:hAnsi="[FontFamily: Name=Calibri]" w:cs="[FontFamily: Name=Calibri]" w:eastAsia="[FontFamily: Name=Calibri]"/>
                <w:sz w:val="18"/>
                <w:szCs w:val="18"/>
              </w:rPr>
              <w:t xml:space="preserve">Indicator 3.2.10A:  </w:t>
            </w:r>
            <w:r>
              <w:rPr>
                <w:rFonts w:ascii="[FontFamily: Name=Calibri]" w:hAnsi="[FontFamily: Name=Calibri]" w:cs="[FontFamily: Name=Calibri]" w:eastAsia="[FontFamily: Name=Calibri]"/>
                <w:sz w:val="18"/>
                <w:szCs w:val="18"/>
              </w:rPr>
              <w:t>Increased lighting in at least 2 SIDS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documentation an implementation evidence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3.2.10B:  </w:t>
            </w:r>
            <w:r>
              <w:rPr>
                <w:rFonts w:ascii="[FontFamily: Name=Calibri]" w:hAnsi="[FontFamily: Name=Calibri]" w:cs="[FontFamily: Name=Calibri]" w:eastAsia="[FontFamily: Name=Calibri]"/>
                <w:sz w:val="18"/>
                <w:szCs w:val="18"/>
              </w:rPr>
              <w:t>% of community reporting improved environment and reduced incidence of sexual harassment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communities involved could include but are not limited to Kingston and Clarendon in Jamaica, Port of Spain in Trinidad and Tobago, Speightstown in Barbados and at least 2 communities in Belize.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Surveys and project documentations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52,234.00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52,234.00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4.2 Strengthened skills among policymakers to develop GBV legislation and policy in line with international standards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4.3 Increased efficiency of the VAW referral pathways in CARICOM countries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420" w:type="dxa"/>
          </w:tcPr>
          <w:p>
            <w:pPr/>
            <w:r>
              <w:rPr>
                <w:rFonts w:ascii="[FontFamily: Name=Calibri]" w:hAnsi="[FontFamily: Name=Calibri]" w:cs="[FontFamily: Name=Calibri]" w:eastAsia="[FontFamily: Name=Calibri]"/>
                <w:sz w:val="18"/>
                <w:szCs w:val="18"/>
              </w:rPr>
              <w:t>193,313.00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5,038,239.00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2,154,821.00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213,313.00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10,593,060.00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193,313.00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5,038,239.00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2,154,821.00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213,313.00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10,593,060.00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Caribbean women and their families are resilient to disasters.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Caribbean people, communities, and institutions have enhanced their adaptive capacity for inclusive, gender responsive Disaster Risk Management and climate change adaptation and mitigation. (MSCDF Outcome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Caribbean people, communities, and institutions have enhanced their adaptive capacity for inclusive, gender responsive Disaster Risk Management and climate change adaptation and mitigation. (MSCDF Outcome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capacities among women owned MSMEs in climate resilient and DRR better business practices.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NDOs and NGMs participating in comprehensive gender responsive DRR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National gender machineries indicate that their capacity strengthened for COVID-19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268,600.00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capacities among NGMs, key sector agencies and CSOs to prepare, respond to and recover from natural hazards</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MCO included in Humanitarian response and post disaster recovery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485,822.00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1,175,822.00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597,822.00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458,600.00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1,556,422.00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597,822.00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458,600.00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1,556,422.00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5517e82610ca4936" Type="http://schemas.openxmlformats.org/officeDocument/2006/relationships/numbering" Target="/word/numbering.xml"/><Relationship Id="rId3" Type="http://schemas.openxmlformats.org/officeDocument/2006/relationships/customXml" Target="../customXml/item3.xml"/><Relationship Id="Re477a1373d1c47b8" Type="http://schemas.openxmlformats.org/officeDocument/2006/relationships/image" Target="/word/media/f6fef2b0-ae34-48f9-98af-4054d7cf9130.jpeg"/><Relationship Id="R788fdbd43c944429" Type="http://schemas.openxmlformats.org/officeDocument/2006/relationships/footer" Target="/word/footer1.xml"/><Relationship Id="R72b91678aef94c48" Type="http://schemas.openxmlformats.org/officeDocument/2006/relationships/footer" Target="/word/footer2.xml"/><Relationship Id="Rbb45aa028b664221" Type="http://schemas.openxmlformats.org/officeDocument/2006/relationships/footer" Target="/word/footer3.xml"/><Relationship Id="rId2" Type="http://schemas.openxmlformats.org/officeDocument/2006/relationships/customXml" Target="../customXml/item2.xml"/><Relationship Id="R9c33058377dc408b" Type="http://schemas.openxmlformats.org/officeDocument/2006/relationships/image" Target="/word/media/d4a9f931-ddb5-4565-95d6-0f4c445766f1.jpeg"/><Relationship Id="rId1" Type="http://schemas.openxmlformats.org/officeDocument/2006/relationships/customXml" Target="../customXml/item1.xml"/><Relationship Id="R66a985add33e486f" Type="http://schemas.openxmlformats.org/officeDocument/2006/relationships/styles" Target="/word/styles.xml"/><Relationship Id="R7bba900067544287"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995E4799-5E4A-4FAB-8DDF-0AC9CF45021A}"/>
</file>

<file path=customXml/itemProps2.xml><?xml version="1.0" encoding="utf-8"?>
<ds:datastoreItem xmlns:ds="http://schemas.openxmlformats.org/officeDocument/2006/customXml" ds:itemID="{1F1B29EB-F665-4DF6-8D34-0EE60E291E6D}"/>
</file>

<file path=customXml/itemProps3.xml><?xml version="1.0" encoding="utf-8"?>
<ds:datastoreItem xmlns:ds="http://schemas.openxmlformats.org/officeDocument/2006/customXml" ds:itemID="{27FC4DDB-0402-4CF2-8DC2-64A83DC5D06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