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62b93f00744346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d766887228d94e7e"/>
      <w:footerReference w:type="even" r:id="Rec9c8013f030478e"/>
      <w:footerReference w:type="first" r:id="R7332e7ee04904476"/>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6d202b1f74746c6"/>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dd3dab87b4410a"/>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China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Chinese women are empowered to lead, and enjoy their equal rights across the newly emerged gender issues from gender sensitive governance system</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Outcome 2: People’s lives in China are improved further as headway is made in ensuring access to childcare, education, healthcare services, elderly care, housing, and social assistance, and more people in China, including left-behind groups, benefit from equitable and public services and social protection systems as well as accelerated efforts to reduce gender inequality and other forms of social inequality throughout the life-course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People’s lives in China are improved further as headway is made in ensuring access to childcare, education, healthcare services, elderly care, housing, and social assistance, and more people in China, including left-behind groups, benefit from equitable and public services and social protection systems as well as accelerated efforts to reduce gender inequality and other forms of social inequality throughout the life-course.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academia and other national stakeholders have increased capacities and tools to implement identified national and international GEWE commitments, including gender-responsive public service delivery (SP Outcome 1, SP Outcome 5)</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institutions putting in place policies and practices to address gender-based discrimination and/or combat gender stereotypes (UNAIDS,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report/media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is strengthened through improved knowledge generation and management inform policy making and accountability to deliver gender responsive results (SP Outcome 1)</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CGF : No. of funded initiatives identified for scale-up/replication based on the impact that the funded initiatives made.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Source: Project report/media report/knowledge products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498,751.00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Outcome 1: 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revitalization, enjoying decent work, sustainable livelihoods, and the right to development equally for both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(Link to SN Output 1.3) 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revitalization, enjoying decent work, sustainable livelihoods, and the right to develop equally for both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1.3) Women in rural areas, including women farmers in target provinces, have enhanced capacities and access to resources for climate-smart livelihood opportunities and entrepreneurship development. (Hunan Output1)</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 in China accessing information, goods, resources and/or services through UNW supported platforms and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89444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for Hunan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89444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for Hunan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69444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Beneficiaries from Qinghai project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(Link to SN Output 1.4 and 1.5) 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revitalization, enjoying decent work, sustainable livelihoods, and the right to develop equally for both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1.4) More private sector companies implement the WEPs and promote gender-sensitive business culture and practices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WEPs signatories in China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WEPs website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489,622.00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489,622.00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1.5) Diverse women’s networks, government, public and private sector share knowledge, tools and promote skills-transfer (through networking, South-South collaboration and innovation partnerships) to advance gender responsive economic policies and practices.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knowledge products developed through UNW platforms and programs in China.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Progress report and knowledge products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(Link to SN Output 1.1 and 1.2) Relative poverty and multi-dimensional poverty are reduced, and more coordinated development leads to reduction in gaps between rural and urban areas and among regions, as more people in China, including left-behind groups, benefit from sustainable, innovation-driven and shared high-quality economic development, with enhanced access to economic opportunities arising through innovation, entrepreneurship and rural revitalization, enjoying decent work, sustainable livelihoods, and the right to develop equally for both women and 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1.2) Women-owned SMEs and entrepreneurs have increased capacities (incl. on digital transformation) and access to markets and financial services, for start-up and building resilient business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women entrepreneurs from MSMEs benefited with UNW support in China, including increased capacities to access to market and finance.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683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Programme documentation, Responsible parties' report, media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(SN Output 1.1) More women, including disadvantaged and young women, at central/provincial/local level have increased access to skills development and life learning opportunities for decent jobs, income generation and livelihood security</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inter-agency products or services in China with a focus to support women's skills development and life long learning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 research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66,838.00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620,222.00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620,222.00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1,457,335.00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1,457,335.00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China's international development financing, investments and business engagement, including through connectivity initiatives, programmes and projects, contribute to SDG attainment in partner countries.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UNSDCF Outcome 5: China’s international financing, investments and business engagements, including through connectivity initiatives, programmes and projects, contribute to SDG attainment in partner countries.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China’s international financing, investments and business engagements, including through connectivity initiatives, programmes and projects, contribute to SDG attainment in partner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5.1.1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bodies, research institutions and private sector entities in China have increased knowledge and capacity in gender-sensitive financing, and be able to advance gender equality through gender responsive financing tools, guidance and practices.</w:t>
            </w:r>
          </w:p>
        </w:tc>
        <w:tc>
          <w:tcPr>
            <w:tcW w:w="5000" w:type="dxa"/>
          </w:tcPr>
          <w:p>
            <w:pPr/>
            <w:r>
              <w:rPr>
                <w:b/>
                <w:rFonts w:ascii="[FontFamily: Name=Calibri]" w:hAnsi="[FontFamily: Name=Calibri]" w:cs="[FontFamily: Name=Calibri]" w:eastAsia="[FontFamily: Name=Calibri]"/>
                <w:sz w:val="18"/>
                <w:szCs w:val="18"/>
              </w:rPr>
              <w:t xml:space="preserve">Indicator 5.1.1A:  </w:t>
            </w:r>
            <w:r>
              <w:rPr>
                <w:rFonts w:ascii="[FontFamily: Name=Calibri]" w:hAnsi="[FontFamily: Name=Calibri]" w:cs="[FontFamily: Name=Calibri]" w:eastAsia="[FontFamily: Name=Calibri]"/>
                <w:sz w:val="18"/>
                <w:szCs w:val="18"/>
              </w:rPr>
              <w:t>No. of knowledge product developed to raise awareness of gender financing among partners and stakeholders.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5.1.2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cross-cutting regional alliance of champions and thought leaders from technology and innovation sector, is established to facilitate knowledge exchange, skills transfer and mentorship opportunities in promotion of digital empowerment of women.</w:t>
            </w:r>
          </w:p>
        </w:tc>
        <w:tc>
          <w:tcPr>
            <w:tcW w:w="5000" w:type="dxa"/>
          </w:tcPr>
          <w:p>
            <w:pPr/>
            <w:r>
              <w:rPr>
                <w:b/>
                <w:rFonts w:ascii="[FontFamily: Name=Calibri]" w:hAnsi="[FontFamily: Name=Calibri]" w:cs="[FontFamily: Name=Calibri]" w:eastAsia="[FontFamily: Name=Calibri]"/>
                <w:sz w:val="18"/>
                <w:szCs w:val="18"/>
              </w:rPr>
              <w:t xml:space="preserve">Indicator 5.1.2B:  </w:t>
            </w:r>
            <w:r>
              <w:rPr>
                <w:rFonts w:ascii="[FontFamily: Name=Calibri]" w:hAnsi="[FontFamily: Name=Calibri]" w:cs="[FontFamily: Name=Calibri]" w:eastAsia="[FontFamily: Name=Calibri]"/>
                <w:sz w:val="18"/>
                <w:szCs w:val="18"/>
              </w:rPr>
              <w:t>Number of alliance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5.1.2C:  </w:t>
            </w:r>
            <w:r>
              <w:rPr>
                <w:rFonts w:ascii="[FontFamily: Name=Calibri]" w:hAnsi="[FontFamily: Name=Calibri]" w:cs="[FontFamily: Name=Calibri]" w:eastAsia="[FontFamily: Name=Calibri]"/>
                <w:sz w:val="18"/>
                <w:szCs w:val="18"/>
              </w:rPr>
              <w:t>CF 6.2.2 New initiatives developed by the UN and Chinese counterparts to increase exchanges of knowledge, practices and needs to achieve SDGs between China and other countries in the world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5.1.2D:  </w:t>
            </w:r>
            <w:r>
              <w:rPr>
                <w:rFonts w:ascii="[FontFamily: Name=Calibri]" w:hAnsi="[FontFamily: Name=Calibri]" w:cs="[FontFamily: Name=Calibri]" w:eastAsia="[FontFamily: Name=Calibri]"/>
                <w:sz w:val="18"/>
                <w:szCs w:val="18"/>
              </w:rPr>
              <w:t>Number of mechanisms created to support women entrepreneurs' access to market and finance through the regional alliance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Press releases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5.1 (core and non-core)</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5</w:t>
            </w:r>
          </w:p>
        </w:tc>
        <w:tc>
          <w:tcPr>
            <w:tcW w:w="112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Outcome 2:People’s lives in China are improved further as headway is made in ensuring access to childcare, education, healthcare services, elderly care, housing, and social assistance, and more people in China, including left-behind groups, benefit from equitable and public services and social protection systems as well as accelerated efforts to reduce gender inequality and other forms of social inequality throughout the life-course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People’s lives in China are improved further as headway is made in ensuring access to childcare, education, healthcare services, elderly care, housing, and social assistance, and more people in China, including left-behind groups, benefit from equitable and public services and social protection systems as well as accelerated efforts to reduce gender inequality and other forms of social inequality throughout the life-course.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government, national and local service providers to deliver quality, coordinated essential services to prevent and respond to violence against women and girls, in normal situations and emergencies, is strengthened</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Training Modules on essential DV prevention and response service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summary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including influencers have enhanced awareness and understanding-and are mor moblized in favor of respectful relationships, healthy social norms and the promotion of gender equality</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video-sharing campaigns organized to raise awareness and foster social norm change on DV prevention and family relations in normal situation and during COVID-19 in social media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documents, social media platform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125,112.00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214,322.00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514,389.00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89,210.00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514,389.00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26d202b1f74746c6" Type="http://schemas.openxmlformats.org/officeDocument/2006/relationships/image" Target="/word/media/82290dfc-032c-4862-b457-d8375e6a3dce.jpeg"/><Relationship Id="rId3" Type="http://schemas.openxmlformats.org/officeDocument/2006/relationships/customXml" Target="../customXml/item3.xml"/><Relationship Id="Rd766887228d94e7e" Type="http://schemas.openxmlformats.org/officeDocument/2006/relationships/footer" Target="/word/footer1.xml"/><Relationship Id="R18d18e361df34820" Type="http://schemas.openxmlformats.org/officeDocument/2006/relationships/styles" Target="/word/styles.xml"/><Relationship Id="rId2" Type="http://schemas.openxmlformats.org/officeDocument/2006/relationships/customXml" Target="../customXml/item2.xml"/><Relationship Id="Raed12df655684211" Type="http://schemas.openxmlformats.org/officeDocument/2006/relationships/settings" Target="/word/settings.xml"/><Relationship Id="rId1" Type="http://schemas.openxmlformats.org/officeDocument/2006/relationships/customXml" Target="../customXml/item1.xml"/><Relationship Id="Rec9c8013f030478e" Type="http://schemas.openxmlformats.org/officeDocument/2006/relationships/footer" Target="/word/footer2.xml"/><Relationship Id="R4429b48ba97140ca" Type="http://schemas.openxmlformats.org/officeDocument/2006/relationships/numbering" Target="/word/numbering.xml"/><Relationship Id="R6fdd3dab87b4410a" Type="http://schemas.openxmlformats.org/officeDocument/2006/relationships/image" Target="/word/media/374d58ac-b2b0-4b06-b892-c0c99332bed7.jpeg"/><Relationship Id="R7332e7ee04904476"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7C6F7F73-B7DE-41E1-8DA5-BF6F952D435C}"/>
</file>

<file path=customXml/itemProps2.xml><?xml version="1.0" encoding="utf-8"?>
<ds:datastoreItem xmlns:ds="http://schemas.openxmlformats.org/officeDocument/2006/customXml" ds:itemID="{8FF2C0AC-05CF-4A88-9B58-61EB346E6CFE}"/>
</file>

<file path=customXml/itemProps3.xml><?xml version="1.0" encoding="utf-8"?>
<ds:datastoreItem xmlns:ds="http://schemas.openxmlformats.org/officeDocument/2006/customXml" ds:itemID="{2D5EB137-DA62-418A-B895-88A54988BE5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