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393e0196e4564766"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eec39ca1925433f"/>
      <w:footerReference w:type="even" r:id="Ra6ab176d72f74f0e"/>
      <w:footerReference w:type="first" r:id="Rccc950268ae14f10"/>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ef81ad4cf6b4dd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85e9f1c58e460a"/>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Côte d'Ivoire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 making and women and girls benefit from ender responsive governance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Governance systems are more inclusive, accountable, effective and have quality data and people live in an environment where the rule of law, labour rights, gender equality, peace and security are respected and effective (UNSDCF OUTCOME 8/ UNSDCF Strategic Priority 5: Promotion of even more effective, transparent and participatory governance), SDG5 (target 5.5), SDG 10 (target 10.4), SDG 16 (target 16,3); Aligned with PND 2021-2025: Pillar 5: Deepening governance in all aspects and modernization of the State)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Governance systems are more inclusive, accountable, effective and have quality data and people live in an environment where the rule of law, labour rights, gender equality, peace and security are respected and effective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Gender Inequality Index (UNSDCF indicator RE 8.4)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0,657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Human Development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civil society actors, and social partners have strengthened capacities in the areas of promotion and respect of Rights (labour, security, justice, civil rights), gender equality, citizen participation, and social dialogue</w:t>
            </w:r>
          </w:p>
        </w:tc>
        <w:tc>
          <w:tcPr>
            <w:tcW w:w="5000" w:type="dxa"/>
          </w:tcPr>
          <w:p>
            <w:pP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civil society actors and social partners trained in collective social conflict management with  UNWomen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the Ministry of Social Protection and Employment, Reports of the Social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1.1.1E:  </w:t>
            </w:r>
            <w:r>
              <w:rPr>
                <w:rFonts w:ascii="[FontFamily: Name=Calibri]" w:hAnsi="[FontFamily: Name=Calibri]" w:cs="[FontFamily: Name=Calibri]" w:eastAsia="[FontFamily: Name=Calibri]"/>
                <w:sz w:val="18"/>
                <w:szCs w:val="18"/>
              </w:rPr>
              <w:t>Number of women's organizations that have benefited from capacity building  for the advancement of women in national parliaments, regional and local bodies with UN Women support (SDG 16.7)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the Ministry of Social Protection and Employment, Reports of the Social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1.1.1F:  </w:t>
            </w:r>
            <w:r>
              <w:rPr>
                <w:rFonts w:ascii="[FontFamily: Name=Calibri]" w:hAnsi="[FontFamily: Name=Calibri]" w:cs="[FontFamily: Name=Calibri]" w:eastAsia="[FontFamily: Name=Calibri]"/>
                <w:sz w:val="18"/>
                <w:szCs w:val="18"/>
              </w:rPr>
              <w:t>Number of structures and organizations intervening in the judicial chain or in the field of human rights in the target areas that have the human and material capacity to ensure respect for the rule of law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 of Ministry of Justice, Report Conseil National des 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Ministry of Justice, Report Conseil National des DH, CSOs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have strengthened capacity to collect, analyze, disseminate and use quality disaggregated data to support decision-making and accountability</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government institutions, community-based organizations, civil society organizations that have benefited from capacity building for the collection, analysis and use of disaggregated data taking into account the SDGs with the UN Women support (SDG 17.18)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statistical directories and dashboards produced with UN Women support (SDG 17.18.3)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Availability of a national statistical legislation that complies with the Fundamental Principles of Official Statisticsofficielle with UN WOmen Support (ODD 17.18.2)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progress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National Institue of Statistic (INS)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are equipped with tools for planning, budgeting, monitoring, and evaluating equity-based, gender-sensitive and results-oriented policies and programs to achieve the SDGs.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ministerial departments/state and non-state sectors strengthened in monitoring-evaluation and strategic planning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04 departments (Bouaké, Sakassou, Botro, Béoumi) of implementation of the UNTFHS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04 departments (Bouaké, Sakassou, Botro, Béoumi) of implementation of the UNTFHS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Rapports sectoriels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ministries with strategic planning documents strategic planning/sector policy documents with UNS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Number of local authorities that have a strategic plan document for local development with the support of the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04 departments (Bouaké, Beoumi, Sakassou, Botro) of implementation of the UNTFHS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04 departments (Bouaké, Beoumi, Sakassou, Botro) of implementation of the UNTFHS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1.1.3D:  </w:t>
            </w:r>
            <w:r>
              <w:rPr>
                <w:rFonts w:ascii="[FontFamily: Name=Calibri]" w:hAnsi="[FontFamily: Name=Calibri]" w:cs="[FontFamily: Name=Calibri]" w:eastAsia="[FontFamily: Name=Calibri]"/>
                <w:sz w:val="18"/>
                <w:szCs w:val="18"/>
              </w:rPr>
              <w:t>Number of timely and quality reports of international progress reports related to the SDGs produced in a timely manner by the country/voluntary reports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community institutions have the capacity to strengthen democracy, security, and social cohesion at the local, regional, and national levels</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Number of national and community institutions whose capacities have been strengthened in the area of intercommunity dialogue with the support of the UNS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Number of security forces agents who have benefited from capacity building with UNS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1.1.4C:  </w:t>
            </w:r>
            <w:r>
              <w:rPr>
                <w:rFonts w:ascii="[FontFamily: Name=Calibri]" w:hAnsi="[FontFamily: Name=Calibri]" w:cs="[FontFamily: Name=Calibri]" w:eastAsia="[FontFamily: Name=Calibri]"/>
                <w:sz w:val="18"/>
                <w:szCs w:val="18"/>
              </w:rPr>
              <w:t>Harmonization of legislation on migration and cross-border trade, the quality of border control services supported by the SNU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Oui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cours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 d’activité</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UN system in Cote d`Ivoire coherently and systematically contributes to progress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 effectively leads, coordinates and promote accountability for the implementation of gender equality commitment across the UN system</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strategic and coordination meetings/retreats organized on GEWE with selected key-players from UNCT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UNWomen provides technical support and coordinates the implementation of the Gender Scorecard recommendations by the UNCT in Cote d´Ivoire</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reports produced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review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Ministries Agencies and Commissions have strengthened capacity to implement, monitor, report on CEDAW concluding Commission on the Status of Women agreed conclusions, 1325 Resolution and Beijing Platform for action</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country reports prepared by Ministry of Gender, Family and Children (MFFE) with support from UN Women CIV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Cedaw report, VLR, Beijing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Number of Ministries Agencies and Commissions that have strengthened technical capacities to monitor the implementation of CEDAW concluding observations, Commission on the Status of Women agreed conclusions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CSOs have strengthened capacity to advocate and monitor the implementation of CEDAW concluding observations, Commission on the Status of Women agreed conclusions, 1325 Resolution and Beijing Platform for action in Cote d Ivoire with UNW support</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number of CSOs with strengthened capacity to monitor the implementation of CEDAW, CSW agreed conclusions, and Beijing Platform for Action concluding observations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225,008.00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1,404,709.00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women and girls have greater access to socio-economic and technological opportunities for their empowerment, and to services for the prevention and management of all forms of violence, particularly harmful practices. (UNSDCF OUTCOME 6/ UNSDCF strategic Priority 2: Improvement of human capital), SDG 1 (target 1.4), SDG.5 (targets 5 a.1.; 5.2.1; 5.2.2.; 5.3.1 ; 5.3.2;) Aligned with PND 2021-2025: Pillar 4: Strengthening inclusion, national solidarity and social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women and girls have greater access to socio-economic and technological opportunities for their empowerment and to services for the prevention and management of all forms of violence, particularly harmful practices (UNSDCF Outome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Availability of Buy from women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annuel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Proportion of women and girls aged 15 years or older who have experienced physical, sexual, or psychological violence by a current or former partner in the preceding 12 months (SDG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MICS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VNR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Proportion of women aged 20 to 24 who were married or in a relationship before the age of 15 years or 18 years (SDG 5.3.1.)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Less than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MICS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Volontary Local Revue, Volontary National Revue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Proportion of women who have security of land rights and legally authenticated documents and who consider their rights to land to be secure (SDG 5.a.1)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 at least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VNL, VLR, Reports, Surveys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Direction du Foncier Rural, MINADER,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Direction du Foncier Rural, MINADER, VNR, VLR,  Reports,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Proportion of victims of sexual violence seen in health facilities offering ARV treatment benefiting from post-exposure prevention (SDG 5.2.2.)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PNLS, reports, VNR, VLR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(PNLS,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PNLS, reports, VNR, VLR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2.1F:  </w:t>
            </w:r>
            <w:r>
              <w:rPr>
                <w:rFonts w:ascii="[FontFamily: Name=Calibri]" w:hAnsi="[FontFamily: Name=Calibri]" w:cs="[FontFamily: Name=Calibri]" w:eastAsia="[FontFamily: Name=Calibri]"/>
                <w:sz w:val="18"/>
                <w:szCs w:val="18"/>
              </w:rPr>
              <w:t>Proportion of girls and women aged 15–49 years who have undergone female genital mutilation/cutting, by age (SDG 5.3.2)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Less than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MICS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particularly those in rural and peri-urban areas, have enhanced social, economic and technological capacities to develop their full potential and facilitate their empowerment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and girls who have benefited from technical and/or financial support in the areas of production, processing, conservation, marketing, use of ICTs, financial services and entrepreneurship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12 553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9553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women's and/or girls' groups that have benefited from technical and/or financial support UN WOMEN for the strengthening of their income-generating activities and/or socio-community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digital platforms established for women and girls for the promotion of and access to opportunities, markets and finance in value chains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connect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at the central, local and community levels have strengthened capacities to improve women and girls' access to socio-economic and technological opportunities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national strategic documents for the promotion of gender, women's empowerment and the fight against GBV whose development and/or implementation has benefited from technical and/or financial support from the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Documents stratégiques nationaux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2025, women and girls have greater access to socio-economic and technological opportunities for their empowerment, and to services for the prevention and management of all forms of violence, particularly harmful practices. (UNSDCF OUTCOME 6/ UNSDCF strategic Priority 2: Improvement of human capital), SDG 1 (target 1.4), SDG.5 (targets 5 a.1.; 5.2.1; 5.2.2.; 5.3.1 ; 5.3.2;) Aligned with PND 2021-2025: Pillar 4: Strengthening inclusion, national solidarity and social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women and girls have greater access to socio-economic and technological opportunities for their empowerment, and to services for the prevention and management of all forms of violence, particularly harmful practices (UNSDCF Outcome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women and girls aged 15 years or older who have experienced physical, sexual, or psychological violence by a current or former partner in the preceding 12 months (SDG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MICS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MICS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Proportion of women aged 20 to 24 who were married or in a relationship before the age of 15 years or 18 years (SDG 5.3.1.)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Less than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MICS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Proportion of victims of sexual violence seen in health facilities offering ARV treatment benefiting from post-exposure prevention (SDG 5.2.2.)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(PNLS,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PNLS, reports, VNR, VLR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Proportion of girls and women aged 15–49 years who have undergone female genital mutilation/cutting, by age (SDG 5.3.2)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Less than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MICS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including those with disabilities, men and boys have strengthened capacities to combat gender inequalities, HIV/AIDS, GBV, including female genital mutilation, and child marriage</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local platforms to combat GBV that have received technical and/or financial support from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Activities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women and girls who have benefited from capacity building to address GBV (CVC, IGA, etc.) and harmful traditional practices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Proportion of GBV victims, including those with disabilities and HIV/AIDS, who are identified and treated in a holistic manner (medical, psychosocial and legal) with  UNWomen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Report MFFE, GBV National Committee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Number of community leaders who have benefited from capacity building with the support of UN Women for the abandonment of FGM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 Reports from MFFE, Report National comittee for GBV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Number of local platforms against GBV that have received technical and/or financial support from UN-Women for their implementation or revitalization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report on GBV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Number of men and boys who have benefited from capacity building to address GBV (CVC, IGA, etc.) and harmful traditional practices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at the central, local and community levels have strengthened capacities to improve women and girls' access to services for the prevention and management of GBV, including female genital mutilation and child marriage</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government institutions, community, civil society organizations (NGOs, women's CBOs) that have benefited from capacity building (equipment training) for the prevention and management of GBV, including harmful traditional practices traditional practices with the support of the UNS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Rapports activités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646,995.00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9d85e9f1c58e460a" Type="http://schemas.openxmlformats.org/officeDocument/2006/relationships/image" Target="/word/media/79bf89d4-66f1-454b-becd-c7c49fb70869.jpeg"/><Relationship Id="R8ef81ad4cf6b4ddf" Type="http://schemas.openxmlformats.org/officeDocument/2006/relationships/image" Target="/word/media/342aff97-64e0-403d-b5f6-28bcb45529ae.jpeg"/><Relationship Id="rId3" Type="http://schemas.openxmlformats.org/officeDocument/2006/relationships/customXml" Target="../customXml/item3.xml"/><Relationship Id="Rccc950268ae14f10" Type="http://schemas.openxmlformats.org/officeDocument/2006/relationships/footer" Target="/word/footer3.xml"/><Relationship Id="rId2" Type="http://schemas.openxmlformats.org/officeDocument/2006/relationships/customXml" Target="../customXml/item2.xml"/><Relationship Id="Ra6ab176d72f74f0e" Type="http://schemas.openxmlformats.org/officeDocument/2006/relationships/footer" Target="/word/footer2.xml"/><Relationship Id="rId1" Type="http://schemas.openxmlformats.org/officeDocument/2006/relationships/customXml" Target="../customXml/item1.xml"/><Relationship Id="Re60a3f76c68940cc" Type="http://schemas.openxmlformats.org/officeDocument/2006/relationships/styles" Target="/word/styles.xml"/><Relationship Id="R9457ea11822e493c" Type="http://schemas.openxmlformats.org/officeDocument/2006/relationships/numbering" Target="/word/numbering.xml"/><Relationship Id="R734824c25d1e427b" Type="http://schemas.openxmlformats.org/officeDocument/2006/relationships/settings" Target="/word/settings.xml"/><Relationship Id="Rdeec39ca1925433f"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5CA9E466-4C4E-4C8D-BB37-24B83004BEDD}"/>
</file>

<file path=customXml/itemProps2.xml><?xml version="1.0" encoding="utf-8"?>
<ds:datastoreItem xmlns:ds="http://schemas.openxmlformats.org/officeDocument/2006/customXml" ds:itemID="{DA024E53-2B82-4A23-A1A7-95D4D47404D9}"/>
</file>

<file path=customXml/itemProps3.xml><?xml version="1.0" encoding="utf-8"?>
<ds:datastoreItem xmlns:ds="http://schemas.openxmlformats.org/officeDocument/2006/customXml" ds:itemID="{B3374B89-F959-496C-B7EF-647BB4A8B22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