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2a5bcb7adaac4e9a"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e24a24ba18944847"/>
      <w:footerReference w:type="even" r:id="Rffde16612e9c48e0"/>
      <w:footerReference w:type="first" r:id="Re9f62572869f40a7"/>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2016ba73fa4649"/>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8b024f87d74589"/>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2021-2025</w:t>
      </w:r>
    </w:p>
    <w:p>
      <w:pPr>
        <w:jc w:val="center"/>
      </w:pPr>
      <w:r>
        <w:rPr>
          <w:b/>
          <w:caps/>
          <w:rFonts w:ascii="[FontFamily: Name=Calibri]" w:hAnsi="[FontFamily: Name=Calibri]" w:cs="[FontFamily: Name=Calibri]" w:eastAsia="[FontFamily: Name=Calibri]"/>
          <w:sz w:val="32"/>
          <w:szCs w:val="32"/>
          <w:color w:val="009CDB"/>
        </w:rPr>
        <w:t>UN WOMEN Georgia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By 2025, all people in Georgia enjoy improved good governance, more open, resilient and accountable institutions, rule of law, equal access to justice, human rights,  and increased representation and participation of women in decision making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all people in Georgia enjoy improved good governance, more open, resilient and accountable institutions, rule of law, equal access to justice, human rights,  and increased representation and participation of women in decision making  (UNSDCF Outcome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all people in Georgia enjoy improved good governance, more open, resilient and accountable institutions, rule of law, equal access to justice, human rights,  and increased representation and participation of women in decision making (UNSDCF Outcome1)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Proportion of women in I and II rank positions (country-specific indicator 5.5.2.1) (GT 5.5) - UNSDCF indicator 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Close to 50/50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Of I and II rank managerial positions, 45% are held by women, and 55% are held by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Of I and II rank managerial positions, 45% are held by women, and 55% are held by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Of I and II rank managerial positions, 39% are held by women, and 61% are held by men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Civil Service Bureau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System to track and make public allocations for gender equality and women’s empowerment (SDG Indicator 5.c.1)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Number of gender equality initiatives developed and/or being implemented by parliamentary bodies (Legislative Parliamentary Committees/ Gender Equality Council of the Parliament), with UN-Women’s support (SP 2.4.3)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(altogether 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State Concept on Gender Equality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 Thematic inquiry on Gender Mainstreaming in policy-making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 Legislative package on making GIA mandatory to legislating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Ratification of ILO C183 on Maternity Protection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 Ratification of ILO C156 on Workers with Family Responsibilities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servants’ capacities as well as processes for gender mainstreaming in policies and budgets developed and sustained at the national and local levels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policies/procedures adopted by the Government of Georgia that aim at improvement of institutionalization of gender mainstreaming (NSDG 5.1.1. (GT 5.1) – UNSDCF indicator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additional to 2020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Government of Georgia’s Guide on Gender Mainstreaming; Amendments to GE Law; Bylaws introducing Gender Responsive Budgeting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additional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State Gender Equality Concept of Georgia; 2. Legal amendments introducing GIA as a mandatory step to legislating in Georgia.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additional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Legal amendments introducing GIA as a mandatory step to policy-making in Georgia; 2. Bylaws introducing GRB.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Gender Equality Law (2010); Decree of the Inter-Agency Commission on  Gender Equality, Violence against Women and Domestic Violence (2017); Gender Chapter of Human Rights Action Plan (2018-2020);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Relevant government policies and decrees.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Public Defender carries out independent and regular monitoring of the implementation of gender mainstreaming obligations by government at all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Report of gender mainstreaming obligations by the government on national and local levels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public servants with strengthened capacities for gender mainstreaming in planning and budgeting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includes the baseline 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150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Training participants list and training evaluations documented through 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Share of PGA recommendations  implemented by audited entities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643,123.00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902,481.00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2,195,604.00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1.1.2. More and better-quality data and analysis are available to promote and track the progress of gender equality and women’s empowerment</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data producers with strengthened capacities in the collection, analysis and use of gender statistics, including in improving Tier I and Tier II gender related SDGs indicators (SP 2.6.4)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Including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Including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Including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Time use survey carried out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Final report of time use survey by GEOSTAT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The second national VAW survey carried out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Final report of the second VAW survey by GEOSTAT and 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1.1.2D:  </w:t>
            </w:r>
            <w:r>
              <w:rPr>
                <w:rFonts w:ascii="[FontFamily: Name=Calibri]" w:hAnsi="[FontFamily: Name=Calibri]" w:cs="[FontFamily: Name=Calibri]" w:eastAsia="[FontFamily: Name=Calibri]"/>
                <w:sz w:val="18"/>
                <w:szCs w:val="18"/>
              </w:rPr>
              <w:t>National Strategy for Gender Statistics developed or implemented with UN-Women’s support (complements to SP 2.6.1)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1.1.2E:  </w:t>
            </w:r>
            <w:r>
              <w:rPr>
                <w:rFonts w:ascii="[FontFamily: Name=Calibri]" w:hAnsi="[FontFamily: Name=Calibri]" w:cs="[FontFamily: Name=Calibri]" w:eastAsia="[FontFamily: Name=Calibri]"/>
                <w:sz w:val="18"/>
                <w:szCs w:val="18"/>
              </w:rPr>
              <w:t>National framework on gender indicators to measure progress on GEWE is finalized and approved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27,611.00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44,519.00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722,130.00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670,734.00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2,917,734.00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670,734.00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2,917,734.00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By 2025, all people in Georgia have equitable and inclusive access to quality, resilient and gender-sensitive services delivered in accordance with international human rights standards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all people in Georgia have equitable and inclusive access to quality, resilient and gender-sensitive services delivered in accordance with international human rights standards (UNSDCF Outcome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all people in Georgia have equitable and inclusive access to quality, resilient and gender-sensitive services delivered in accordance with international human rights standards (UNSDCF Outcome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Existence of costed National Action Plan on  Ending Violence against Women and Domestic Violence and its implementation rate (UNSDCF 1.3.1 NSDG: 5.1.1  (GT 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reports, PDO independent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Percentage of women and girls who experience violence and seek help from formal institutions (UNSDCF 2.5; SP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Source: The second UN Women Geostat National Study on Violence against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data will be available in 2022 to measure progress against this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Final report of the second VAW survey by GEOSTAT and 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Ending violence against women and domestic violence (EVAW/DV) legislation and policies are further improved to meet international standards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The status of legislation and policies in Georgia vis-à-vis the international standards on violence against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Fully aligned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Partially aligned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Partially aligned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Partially aligned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Country reporting and official communication with GREVIO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70,766.00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406,349.00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406,399.00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133,350.00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1,150,164.00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Violence against women and domestic violence services and the capacities of service providers are further improved to meet international standards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shelters and crisis centers for DV victims/survivors functional funded from the State Budget NSDG: 5.2.1 (GT 5.2) – UNSDCF indicator 2.3.3.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 shelters and 7 crisis centers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shelters and 5 crisis centers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shelters and 6 crisis centers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shelters and 5 crisis centers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State and non-state partners’ reports to GREVIO and CEDAW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Existence of specialized state provided services for sexual violence victims/survivors delivered in line with the Istanbul Convention requirements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State and non-state partners’ reports to GREVIO and CEDAW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133,350.00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133,350.00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641,300.00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Negative gender stereotypes, social norms and attitudes that condone violence against women and harmful practices transformed to enable respect for women’s rights and gender equality</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Percentage of people who think it is justifiable for a man to beat his wife, disaggregated by sex (SP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 of women and 26% of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We will not have data to measure this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 of women and 31% men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GEOSTAT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3.1.3D:  </w:t>
            </w:r>
            <w:r>
              <w:rPr>
                <w:rFonts w:ascii="[FontFamily: Name=Calibri]" w:hAnsi="[FontFamily: Name=Calibri]" w:cs="[FontFamily: Name=Calibri]" w:eastAsia="[FontFamily: Name=Calibri]"/>
                <w:sz w:val="18"/>
                <w:szCs w:val="18"/>
              </w:rPr>
              <w:t>% of change in public awareness of the existence of the DV law and relevant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 of women and 79% of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We will not have data to measure this indicator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67% of women and 74% of men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GEOSTAT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152,684.00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406,349.00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406,399.00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133,350.00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1,232,082.00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331,450.00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945,998.00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946,148.00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399,900.00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3,023,546.00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331,450.00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945,998.00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946,148.00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399,900.00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3,023,546.00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By 2025, all people without discrimination benefit from a sustainable, inclusive and resilient economy in Georgia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all people without discrimination benefit from a sustainable, inclusive and resilient economy in Georgia (UNSDCF Outcome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all people without discrimination benefit from a sustainable, inclusive and resilient economy in Georgia (UNSDCF Outcome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Gender pay gap (UNSDCF 3.3 NSDG: 8.5.1. &amp; 5.5.1.2.; (GT 8.5 and 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GEOSTAT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Share of female labor force participation (UNSDCF 3.4 NSDG: 8.5.2 (GT 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GEOSTAT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particularly poor and socially excluded, use skills, economic opportunities, and relevant information to be (self-)employed and/or start/develop their businesses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women with strengthened capacities and skills to participate in economy, including as entrepreneurs, with UN Women support (at least 30% of whom are poor and socially excluded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 new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About 100 new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About 500 (including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About 300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and 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rural women supported to gain access, use and/or control of productive resources by UN Women in Georgia (at least 30% of whom are poor and socially excluded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 new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 new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 (including 2021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About 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and 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349,121.00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2,349,121.00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capacities of the representatives of government, public institutions and private companies strengthened to develop and deliver legislation, policies, services and programs for women’s economic empowerment</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national signatories to Women’s Empowerment Principles (WEPs)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 (including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https://www.weps.org/companies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awareness and advocacy campaigns launched by different players, including government, to bridge the gender pay gap (UNSDCF 3.3.5)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(including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 (including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Reporting of the Government of Georgia to Equal Pay International Coalition (EPIC)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Number of gender-transformative policy and legislative reforms from a WEE perspective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(altogether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analysis; ILO recommendations; Government reporting under relevant EU Directives.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2.1.2D:  </w:t>
            </w:r>
            <w:r>
              <w:rPr>
                <w:rFonts w:ascii="[FontFamily: Name=Calibri]" w:hAnsi="[FontFamily: Name=Calibri]" w:cs="[FontFamily: Name=Calibri]" w:eastAsia="[FontFamily: Name=Calibri]"/>
                <w:sz w:val="18"/>
                <w:szCs w:val="18"/>
              </w:rPr>
              <w:t>Gender visibly mainstreamed in state's economic empowerment programmes aimed at farmers and other entrepreneurs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and 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2.1.2E:  </w:t>
            </w:r>
            <w:r>
              <w:rPr>
                <w:rFonts w:ascii="[FontFamily: Name=Calibri]" w:hAnsi="[FontFamily: Name=Calibri]" w:cs="[FontFamily: Name=Calibri]" w:eastAsia="[FontFamily: Name=Calibri]"/>
                <w:sz w:val="18"/>
                <w:szCs w:val="18"/>
              </w:rPr>
              <w:t>Number of interventions to enhance day care facilities and re-skilling of women to enhance their Labour Force Participation Rate (UNSDCF 3.3.4)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758,134.00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2,758,134.00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1,107,255.00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5,107,255.00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1,107,255.00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5,107,255.00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By 2025, conflict affected communities enjoy human rights, enhanced human security and resilience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conflict affected communities enjoy human rights, enhanced human security and resilience (UNSDCF Outcome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conflict affected communities enjoy human rights, enhanced human security and resilience (UNSDCF Outcome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Existence of costed National Action Plan on Women, Peace and Security and its implementation rate (UNSDCF 4.3.1, contributes to SP 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decree approving National Action Plans and their implementation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Women, Peace and Security Index (UNSDCF 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Improvement of index and rank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WPSI - index - .800 rank 40/170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met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Further improvement of index and rank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WPSI - index - .777 rank 46/166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Georgetown University for Women, Peace and Security; https://giwps.georgetown.edu/the-index/chapters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Governmental, public and civil society organizations possess the required capacities to implement WPSA-relevant policies and programmes</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security sector representatives reached by UN Women gender mainstreaming capacity development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 (including 2020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and 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Share of GIA recommendations addressed by respective entities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 least 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and 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4.1.1C:  </w:t>
            </w:r>
            <w:r>
              <w:rPr>
                <w:rFonts w:ascii="[FontFamily: Name=Calibri]" w:hAnsi="[FontFamily: Name=Calibri]" w:cs="[FontFamily: Name=Calibri]" w:eastAsia="[FontFamily: Name=Calibri]"/>
                <w:sz w:val="18"/>
                <w:szCs w:val="18"/>
              </w:rPr>
              <w:t>Share of PGA recommendations implemented by the audited security sector entities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 least 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and 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522,162.00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822,162.00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enabled and capacitated to take part in decision-making processes around the Women, Peace and Security (WPS) agenda</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Representation of women in peace negotiations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 least 30 % in both GID and IPRM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Geneva International Discussions (GID): 17% in 2020 (2 of the 12); Incident Prevention and Response Mechanism (IPRM): 33 per cent in 2017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and 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Proportion of people-to-people diplomacy initiatives implemented by women’s CSOs or addressing women’s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 least 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 (11 of the 41 projects aimed at peacebuilding and restoring trust)</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Country Gender Equality Profile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211,872.00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811,872.00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IDP and conflict affected women (in Abkhazia, Georgia and across ABL) have enhanced human security and resilience through women’s economic empowerment and end violence against women interventions</w:t>
            </w:r>
          </w:p>
        </w:tc>
        <w:tc>
          <w:tcPr>
            <w:tcW w:w="5000" w:type="dxa"/>
          </w:tcPr>
          <w:p>
            <w:pPr/>
            <w:r>
              <w:rPr>
                <w:b/>
                <w:rFonts w:ascii="[FontFamily: Name=Calibri]" w:hAnsi="[FontFamily: Name=Calibri]" w:cs="[FontFamily: Name=Calibri]" w:eastAsia="[FontFamily: Name=Calibri]"/>
                <w:sz w:val="18"/>
                <w:szCs w:val="18"/>
              </w:rPr>
              <w:t xml:space="preserve">Indicator 4.1.3A:  </w:t>
            </w:r>
            <w:r>
              <w:rPr>
                <w:rFonts w:ascii="[FontFamily: Name=Calibri]" w:hAnsi="[FontFamily: Name=Calibri]" w:cs="[FontFamily: Name=Calibri]" w:eastAsia="[FontFamily: Name=Calibri]"/>
                <w:sz w:val="18"/>
                <w:szCs w:val="18"/>
              </w:rPr>
              <w:t>Number of women, GBV survivors, who receive support services in Abkhazia, Georgia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and 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4.1.3C:  </w:t>
            </w:r>
            <w:r>
              <w:rPr>
                <w:rFonts w:ascii="[FontFamily: Name=Calibri]" w:hAnsi="[FontFamily: Name=Calibri]" w:cs="[FontFamily: Name=Calibri]" w:eastAsia="[FontFamily: Name=Calibri]"/>
                <w:sz w:val="18"/>
                <w:szCs w:val="18"/>
              </w:rPr>
              <w:t>Number of women in Abkhazia, Georgia and Samegrelo region with strengthened capacities and skills to participate in economy, including as entrepreneurs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and 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429,458.00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1,499,458.00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1,163,492.00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3,133,492.00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1,163,492.00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3,133,492.00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e24a24ba18944847" Type="http://schemas.openxmlformats.org/officeDocument/2006/relationships/footer" Target="/word/footer1.xml"/><Relationship Id="Rc48b024f87d74589" Type="http://schemas.openxmlformats.org/officeDocument/2006/relationships/image" Target="/word/media/f650d2c0-0ab6-4846-bb82-c031c9682222.jpeg"/><Relationship Id="R5d2016ba73fa4649" Type="http://schemas.openxmlformats.org/officeDocument/2006/relationships/image" Target="/word/media/9d4111c0-ae8c-4c14-b7ff-29e31bfc5789.jpeg"/><Relationship Id="Rffde16612e9c48e0" Type="http://schemas.openxmlformats.org/officeDocument/2006/relationships/footer" Target="/word/footer2.xml"/><Relationship Id="Re9f62572869f40a7" Type="http://schemas.openxmlformats.org/officeDocument/2006/relationships/footer" Target="/word/footer3.xml"/><Relationship Id="rId3" Type="http://schemas.openxmlformats.org/officeDocument/2006/relationships/customXml" Target="../customXml/item3.xml"/><Relationship Id="R1f5e39f103844ea3" Type="http://schemas.openxmlformats.org/officeDocument/2006/relationships/settings" Target="/word/settings.xml"/><Relationship Id="rId2" Type="http://schemas.openxmlformats.org/officeDocument/2006/relationships/customXml" Target="../customXml/item2.xml"/><Relationship Id="rId1" Type="http://schemas.openxmlformats.org/officeDocument/2006/relationships/customXml" Target="../customXml/item1.xml"/><Relationship Id="Rf1115343e71d426b" Type="http://schemas.openxmlformats.org/officeDocument/2006/relationships/numbering" Target="/word/numbering.xml"/><Relationship Id="R376c6243bfb04124" Type="http://schemas.openxmlformats.org/officeDocument/2006/relationships/styles" Target="/word/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ABD49205-5394-4499-8969-4231053C2004}"/>
</file>

<file path=customXml/itemProps2.xml><?xml version="1.0" encoding="utf-8"?>
<ds:datastoreItem xmlns:ds="http://schemas.openxmlformats.org/officeDocument/2006/customXml" ds:itemID="{E9327499-1875-4355-B60C-2B4A055FAB6C}"/>
</file>

<file path=customXml/itemProps3.xml><?xml version="1.0" encoding="utf-8"?>
<ds:datastoreItem xmlns:ds="http://schemas.openxmlformats.org/officeDocument/2006/customXml" ds:itemID="{321B099C-97AC-4DC7-BF7B-BE15DA469A1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