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310fc69c7822412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49e28d087dfb41c9"/>
      <w:footerReference w:type="even" r:id="Rec40057096594a00"/>
      <w:footerReference w:type="first" r:id="Rc976376979984965"/>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3a5ee7006d41d0"/>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da98ed2f7f45bc"/>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2022-2025</w:t>
      </w:r>
    </w:p>
    <w:p>
      <w:pPr>
        <w:jc w:val="center"/>
      </w:pPr>
      <w:r>
        <w:rPr>
          <w:b/>
          <w:caps/>
          <w:rFonts w:ascii="[FontFamily: Name=Calibri]" w:hAnsi="[FontFamily: Name=Calibri]" w:cs="[FontFamily: Name=Calibri]" w:eastAsia="[FontFamily: Name=Calibri]"/>
          <w:sz w:val="32"/>
          <w:szCs w:val="32"/>
          <w:color w:val="009CDB"/>
        </w:rPr>
        <w:t>UN WOMEN Guatemala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Governance &amp; Participation in Public Life (G&amp;PPL).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fully and equally participate in leadership and decision-making and benefit from gender-responsive governance.</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2025, the prioritized population will have greater access, under conditions of equality and security, to spaces for political, and civic participation at the national and local levels, promoting urban and rural development from different spaces.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(UNSDCF Pillar 3. Strong institutions. Outcome 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the prioritized population will have greater access, under conditions of equality and security, to spaces for political, and civic participation at the national and local levels, promoting urban and rural development from different spaces.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(UNSDCF Pillar 3. Strong institutions. Outcome 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Women, Indigenous, Afro-descendant Garífuna and young women, and their organizations, increase their political participation as well as their capacities to influence relevant local and national decision-making processes.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women with strengthened capacities to participate and influence politics. Disaggregation by: (a) total, (b) youth women, (c). indigenous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2021. (a) 200, (b) 50, (c) 100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2022. (a) 200, (b) 30, (c) 100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2023. (a) 200, (b) 30, (c) 100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2024. (a) 200, (b) 30, (c) 100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 (a) 200, (b) 30, (c) 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LB: (a) 186 (b) 45, (c) 100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CO Guatemala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132,054.00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223,008.00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130,646.00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171,113.00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30,924.00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354,248.00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30,924.00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324,548.00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1,112,369.00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Gender equality mechanisms are strengthened and public institutions access knowledge products and technical assistance to prevent violence against women in spaces for political and electoral participation, to improve planning with a gender perspective, as well as to monitor investments that are gender-sensitive and with an ethnic marker.</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public officials with greater capacities for gender-sensitive planning and monitoring of gender-sensitive investments.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2021. 5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2022. 5. Accum. 10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2023. 5. Accum. 15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2024. 5. Accum. 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 5. Accum. 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CO Guatemala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24,289.00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23,110.00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42,887.00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37,796.00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354,250.00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37,796.00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122,991.00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872,137.00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420" w:type="dxa"/>
          </w:tcPr>
          <w:p>
            <w:pPr/>
            <w:r>
              <w:rPr>
                <w:rFonts w:ascii="[FontFamily: Name=Calibri]" w:hAnsi="[FontFamily: Name=Calibri]" w:cs="[FontFamily: Name=Calibri]" w:eastAsia="[FontFamily: Name=Calibri]"/>
                <w:sz w:val="18"/>
                <w:szCs w:val="18"/>
              </w:rPr>
              <w:t>156,343.00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334,008.00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153,756.00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68,720.00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708,498.00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68,720.00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447,539.00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1,984,506.00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420" w:type="dxa"/>
          </w:tcPr>
          <w:p>
            <w:pPr/>
            <w:r>
              <w:rPr>
                <w:rFonts w:ascii="[FontFamily: Name=Calibri]" w:hAnsi="[FontFamily: Name=Calibri]" w:cs="[FontFamily: Name=Calibri]" w:eastAsia="[FontFamily: Name=Calibri]"/>
                <w:sz w:val="18"/>
                <w:szCs w:val="18"/>
              </w:rPr>
              <w:t>156,343.00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334,008.00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153,756.00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68,720.00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708,498.00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68,720.00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447,539.00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1,984,506.00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Economic Empowerment &amp; Resilience (EE&amp;R).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r>
              <w:rPr>
                <w:b/>
                <w:rFonts w:ascii="[FontFamily: Name=Calibri]" w:hAnsi="[FontFamily: Name=Calibri]" w:cs="[FontFamily: Name=Calibri]" w:eastAsia="[FontFamily: Name=Calibri]"/>
                <w:sz w:val="18"/>
                <w:szCs w:val="18"/>
              </w:rPr>
              <w:br/>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By 2025, the Guatemalan State will increase the access of the prioritized population to decent work, productive means, and economic services at the national and local levels, adequate for competitiveness and the climate business, within a framework of inclusive, sustainable, socio-economic development.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(UNSDCF Pillar 1. Economic development. 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By 2025, the Guatemalan State will increase the access of the prioritized population to decent work, productive means, and economic services at the national and local levels, adequate for competitiveness and the climate business, within a framework of inclusive, sustainable, socio-economic development.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(UNSDCF Pillar 1. Economic development. 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women who improve competitiveness and consolidate business thanks to the technical or financial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LB. 0 in 2020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2021. 0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2022. 30. Accum. 30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2023. 40. Accum. 70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2024. 40. Accum. 110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 30. Accum. 140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CO Guatemala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women accessing new opportunities for dignified and decent work thanks to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LB. 0 in 2020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2022. 20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2023. 20. Accum. 40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2024. 20. Accum. 60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 20. Accum. 80</w:t>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Guatemala CO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Public and private institutions have improved the knowledge to design, implement and monitor policies, strategies, budgets for the generation of economic opportunities in business, entrepreneurship, and employment for women, and for the design and implementation of a comprehensive care system.</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national or local public institutions that have improved the knowledge to design, implement, and monitor policies and budgets for the generation of economic opportunities in business, entrepreneurship, employment and care initiatives.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2022. 1</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2023. 1. Accum. 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2024. 1. Accum. 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 1. Accum.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Guatemala CO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Number of private institutions that have improved their knowledge to design, implement initiatives and strategies for the generation of economic opportunities in business, entrepreneurship, employment and care initiatives.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2022. 3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2023. 3. Accum. 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2024. 3. Accum. 9</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 3. Accum.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CO Guatemala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62,017.00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438,582.00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63,876.00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431,257.00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39,821.00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262,145.00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39,821.00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269,360.00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205,535.00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1,401,344.00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The most excluded women and rural women have access to technical education opportunities, business strengthening and market linkage services and financial resources for integration into the labor market, the development and growth of their businesses, and to generate conditions of economic resilience to ensure their livelihoods against the adverse effects of climate change.</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women who have access to technical education opportunities and financial resources for integration into the labor market and the development and growth of their businesses.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Disaggregation by: (a) total, (b) rural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2022. (a) 150 (b) 100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2023. (a) 150 (b) 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2024. (a) 150 (b) 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 (a) 150 (b) 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LB: (a) 150 (b) 100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CO Guatemala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Number of women who access development models to generate conditions of economic resilience and ensure their livelihoods.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Disaggregation by: (a) total, (b) rural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2022. (a) 50 (b) 35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2023. (a) 50 (b) 35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2024. (a) 50 (b) 35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 (a) 50 (b) 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LB: (a) 50 (b) 35 en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CO Guatemala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63,799.00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119,865.00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26,548.00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446,355.00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26,548.00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458,640.00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53,096.00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1,088,659.00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420" w:type="dxa"/>
          </w:tcPr>
          <w:p>
            <w:pPr/>
            <w:r>
              <w:rPr>
                <w:rFonts w:ascii="[FontFamily: Name=Calibri]" w:hAnsi="[FontFamily: Name=Calibri]" w:cs="[FontFamily: Name=Calibri]" w:eastAsia="[FontFamily: Name=Calibri]"/>
                <w:sz w:val="18"/>
                <w:szCs w:val="18"/>
              </w:rPr>
              <w:t>62,017.00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502,381.00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63,876.00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551,122.00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66,369.00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708,500.00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66,369.00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258,631.00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2,490,003.00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420" w:type="dxa"/>
          </w:tcPr>
          <w:p>
            <w:pPr/>
            <w:r>
              <w:rPr>
                <w:rFonts w:ascii="[FontFamily: Name=Calibri]" w:hAnsi="[FontFamily: Name=Calibri]" w:cs="[FontFamily: Name=Calibri]" w:eastAsia="[FontFamily: Name=Calibri]"/>
                <w:sz w:val="18"/>
                <w:szCs w:val="18"/>
              </w:rPr>
              <w:t>62,017.00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502,381.00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63,876.00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551,122.00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66,369.00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708,500.00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66,369.00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258,631.00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2,490,003.00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Ending Violence Against Women (EVAW).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r>
              <w:rPr>
                <w:b/>
                <w:rFonts w:ascii="[FontFamily: Name=Calibri]" w:hAnsi="[FontFamily: Name=Calibri]" w:cs="[FontFamily: Name=Calibri]" w:eastAsia="[FontFamily: Name=Calibri]"/>
                <w:sz w:val="18"/>
                <w:szCs w:val="18"/>
              </w:rPr>
              <w:br/>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2025, State institutions will improve access to justice, dignified and transformative reparation, comprehensive protection, and prevention of violence against women, youth, adolescents, and childhood.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(UNSDCF Pillar 4. Peace, security and justice. 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State institutions will improve access to justice, dignified and transformative reparation, comprehensive protection, and prevention of violence against women, youth, adolescents, and childhood.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(UNSDCF Pillar 4. Peace, security and justice. 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The competent State institutions, at national and local level, improve their capacities to prevent and respond to women, girls, adolescents and survivors of violence, including better and greater access to comprehensive protection and essential services.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18,644.00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472,333.00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18,644.00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485,333.00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37,288.00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1,289,666.00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Civil society women's organizations and survivors of violence against women enhance their capacities to demand their rights to essential services, comprehensive protection, justice and transformative reparation, and to promote processes of prevention of violence against women, girls, and adolescents through cultural changes and social norms.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9,322.00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236,166.00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9,322.00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242,666.00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18,644.00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596,832.00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27,966.00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708,499.00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27,966.00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727,999.00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55,932.00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1,886,498.00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27,966.00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708,499.00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27,966.00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727,999.00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55,932.00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1,886,498.00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Peace, Security, Humanitarian &amp; Disaster Risk Reduction (PSH&amp;DRR).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contribute to, and have influence in, building sustainable peace and resilience and benefit equally from the prevention of conflicts and disasters, and from humanitarian action</w:t>
            </w:r>
            <w:r>
              <w:rPr>
                <w:b/>
                <w:rFonts w:ascii="[FontFamily: Name=Calibri]" w:hAnsi="[FontFamily: Name=Calibri]" w:cs="[FontFamily: Name=Calibri]" w:eastAsia="[FontFamily: Name=Calibri]"/>
                <w:sz w:val="18"/>
                <w:szCs w:val="18"/>
              </w:rPr>
              <w:br/>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By 2025, the strengthened State institutions will increase citizen security, access to justice, and the transformation of conflicts, seeking greater coordination at the national and local levels.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(UNSDCF Pillar 4. Peace, security and justice. 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By 2025, the strengthened State institutions will increase citizen security, access to justice, and the transformation of conflicts, seeking greater coordination at the national and local levels.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(UNSDCF Pillar 4. Peace, security and justice. 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Number of VAW sentences issued by courts and tribunals specialized in femicide and other forms of VAW (UNSDCF Indicator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LB.      No Available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2021.</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2024. No Available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2025.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Note: (UNSDCF Indicator 3.2.2)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Baseline and target not determined in UNSDCF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 Available</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UNSDCF Indicator 3.2.2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State institutions consolidate their capacities and coordinate to develop initiatives for women's access to security, justice, transformative reparation; conflict transformation, sustaining peace and the rule of law.</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State institutions strengthened to develop initiatives for women's access to security, justice, and dignified and transformative reparation; transformation of conflicts; peacekeeping, and/or the rule of law.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2022. 1 Accum. 1</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2023. 1 Accum. 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2024. 1 Accum. 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 1 Accum.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CO Guatemala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Number of public officials with strengthened capacities for the transformation of conflicts, peacekeeping, and the rule of law.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LB. 0 in 2020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2021. 10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2022. 10 Accum. 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2023. 10 Accum. 30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2024. 10 Accum. 40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 10 Accum. 50</w:t>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Guatemala CO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11,109.00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466,869.00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11,441.00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278,404.00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15,307.00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513,663.00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15,307.00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527,800.00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53,164.00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1,786,736.00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Women, indigenous women, and defenders lead initiatives for improved protection, access to justice, transformative reparation, sustaining peace and the rule of law.</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Number of initiatives led by civil society organizations and indigenous women's organizations, aimed at the protection, access to justice, and transformative reparation to contribute to peacekeeping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2021. 0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2022. 2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2023. 2 Accum. 4</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2024. 2 Accum. 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 2 Accum. 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CO Guatemala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346,489.00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12,363.00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118,538.00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12,363.00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121,800.00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24,726.00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736,827.00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More women participate and lead humanitarian response and post-disaster recovery interventions, applying the humanitarian - peace - development triple nexus.</w:t>
            </w:r>
          </w:p>
        </w:tc>
        <w:tc>
          <w:tcPr>
            <w:tcW w:w="5000" w:type="dxa"/>
          </w:tcPr>
          <w:p>
            <w:pPr/>
          </w:p>
        </w:tc>
        <w:tc>
          <w:tcPr>
            <w:tcW w:w="1420" w:type="dxa"/>
          </w:tcPr>
          <w:p>
            <w:pPr/>
            <w:r>
              <w:rPr>
                <w:rFonts w:ascii="[FontFamily: Name=Calibri]" w:hAnsi="[FontFamily: Name=Calibri]" w:cs="[FontFamily: Name=Calibri]" w:eastAsia="[FontFamily: Name=Calibri]"/>
                <w:sz w:val="18"/>
                <w:szCs w:val="18"/>
              </w:rPr>
              <w:t>13,053.00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81,593.00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13,444.00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72,884.00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6,918.00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158,050.00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6,918.00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40,333.00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474,927.00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420" w:type="dxa"/>
          </w:tcPr>
          <w:p>
            <w:pPr/>
            <w:r>
              <w:rPr>
                <w:rFonts w:ascii="[FontFamily: Name=Calibri]" w:hAnsi="[FontFamily: Name=Calibri]" w:cs="[FontFamily: Name=Calibri]" w:eastAsia="[FontFamily: Name=Calibri]"/>
                <w:sz w:val="18"/>
                <w:szCs w:val="18"/>
              </w:rPr>
              <w:t>24,162.00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894,951.00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24,885.00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501,288.00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34,588.00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790,251.00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34,588.00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118,223.00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2,998,490.00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420" w:type="dxa"/>
          </w:tcPr>
          <w:p>
            <w:pPr/>
            <w:r>
              <w:rPr>
                <w:rFonts w:ascii="[FontFamily: Name=Calibri]" w:hAnsi="[FontFamily: Name=Calibri]" w:cs="[FontFamily: Name=Calibri]" w:eastAsia="[FontFamily: Name=Calibri]"/>
                <w:sz w:val="18"/>
                <w:szCs w:val="18"/>
              </w:rPr>
              <w:t>24,162.00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894,951.00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24,885.00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501,288.00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34,588.00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790,251.00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34,588.00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118,223.00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2,998,490.00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b9045705af454aa1" Type="http://schemas.openxmlformats.org/officeDocument/2006/relationships/settings" Target="/word/settings.xml"/><Relationship Id="Rec40057096594a00" Type="http://schemas.openxmlformats.org/officeDocument/2006/relationships/footer" Target="/word/footer2.xml"/><Relationship Id="Rc976376979984965" Type="http://schemas.openxmlformats.org/officeDocument/2006/relationships/footer" Target="/word/footer3.xml"/><Relationship Id="rId3" Type="http://schemas.openxmlformats.org/officeDocument/2006/relationships/customXml" Target="../customXml/item3.xml"/><Relationship Id="R49e28d087dfb41c9" Type="http://schemas.openxmlformats.org/officeDocument/2006/relationships/footer" Target="/word/footer1.xml"/><Relationship Id="rId2" Type="http://schemas.openxmlformats.org/officeDocument/2006/relationships/customXml" Target="../customXml/item2.xml"/><Relationship Id="Re9ba78500a0d442b" Type="http://schemas.openxmlformats.org/officeDocument/2006/relationships/numbering" Target="/word/numbering.xml"/><Relationship Id="Raf3a5ee7006d41d0" Type="http://schemas.openxmlformats.org/officeDocument/2006/relationships/image" Target="/word/media/0496f16f-c9e4-4c36-a436-31cea01f5596.jpeg"/><Relationship Id="rId1" Type="http://schemas.openxmlformats.org/officeDocument/2006/relationships/customXml" Target="../customXml/item1.xml"/><Relationship Id="Ra448be0571d34e03" Type="http://schemas.openxmlformats.org/officeDocument/2006/relationships/styles" Target="/word/styles.xml"/><Relationship Id="Rd5da98ed2f7f45bc" Type="http://schemas.openxmlformats.org/officeDocument/2006/relationships/image" Target="/word/media/53916b6c-2266-434d-937e-25d1843f434d.jpe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B3A1F9C2-1CAE-4AE3-AB6F-4E4A6FB8B9D4}"/>
</file>

<file path=customXml/itemProps2.xml><?xml version="1.0" encoding="utf-8"?>
<ds:datastoreItem xmlns:ds="http://schemas.openxmlformats.org/officeDocument/2006/customXml" ds:itemID="{A01187C3-1FB4-449E-B7F3-B11DC0E15459}"/>
</file>

<file path=customXml/itemProps3.xml><?xml version="1.0" encoding="utf-8"?>
<ds:datastoreItem xmlns:ds="http://schemas.openxmlformats.org/officeDocument/2006/customXml" ds:itemID="{A8E6CA91-EADA-4F8F-9385-8CECEA20688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