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db1e042f67e741e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3bfe4f6b48b4c30"/>
      <w:footerReference w:type="even" r:id="Rf53272fa716b445f"/>
      <w:footerReference w:type="first" r:id="R44b46fff19384493"/>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b53f4db693428e"/>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7ff8556932431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Indonesia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Indonesia realizes its commitments to universal human rights, enabling an inclusive approach to human development with overarching development goal of  ‘leaving no one behind’ measured by a significant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reduction in inequalities of all kinds (SDG 5 and 10) and substantial progress in the eradication of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poverty (SDG 1).</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UNSCDF Outcome 1: People living in Indonesia, especially those at risk of being left furthest behind, are empowered to fulfil their human development potential as members of a pluralistic, tolerant, inclusive, and just society, free of gender and all other forms of discrimination; and UNSCDF Outcome 3: Institutions, communities, and people actively apply low carbon development, sustainable natural resources management, and disaster resilience approaches that are inclusive and gender-responsive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ASEAN institutions and Member States promote WPS at the regional and 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regional WPS policy frameworks complete with implementation and accountability mechanisms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Relevant WPS related frameworks at the regional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Number of national policy frameworks to advance WPS complete with accountability mechanisms and financial backing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Relevant WPS related frameworks at the national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ASEAN sectoral bodies and institutions have increased access to gender and WPS expertise to be able to develop effective regional policy frameworks in this area</w:t>
            </w:r>
          </w:p>
        </w:tc>
        <w:tc>
          <w:tcPr>
            <w:tcW w:w="5000" w:type="dxa"/>
          </w:tcPr>
          <w:p>
            <w:pP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members of ASEAN Secretariat and sectoral bodies who report having increased their capacity on gender and WPS as a result of participating in drafting processes of regional frameworks on advancing WPS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Members of ASEAN Secretariat and sectoral bodies.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Level of confidence in mainstreaming gender in various WPS related policies reported by relevant ASEAN institutions and parliamentarians (f/m)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Relevant ASEAN institutions and parliamentarians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(AIPA/WAIPA representatives, select drafting commit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ASEAN sectoral bodies and institutions have strengthened capacity to implement the WPS agenda</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members (f/m) from ASEAN sectoral bodies and ASEAN institutions who report better knowledge, skills and ability in the development, implementation and monitoring of regional policies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members (f/m) tasked with implementing the WPS agenda at the regional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Members from ASEAN Sectoral bodies and ASEAN institutions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Perceptions of relevant members (f/m) from ASEAN sectoral bodies and ASEAN institutions on their capacity to implement the WPS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Relevant ASEAN institutions and parliamentarians report being confident in applying knowledge and skills acquired.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Relevant staff of ASEAN organizations/ institutions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534,364.00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1,427,364.00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regional platform for cooperation and advocacy among ASEAN member states is strengthened to promote good practices and apply evidence on WPS</w:t>
            </w:r>
          </w:p>
        </w:tc>
        <w:tc>
          <w:tcPr>
            <w:tcW w:w="5000" w:type="dxa"/>
          </w:tcPr>
          <w:p>
            <w:pP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Number of ASEAN staff members and stakeholders (including women and youth CSOs) who report accessing and using knowledge created through the knowledge hub and different regional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ACW, ACWC, AICHR ASEAN-IPR, key stakeholders, including CSOs and women organisations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663,531.00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328,633.00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338,017.00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1,528,991.00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ASEAN member states have increased knowledge and capacity to test and upscale innovative approaches to implementing the WPS agenda and conflict prevention at national level</w:t>
            </w:r>
          </w:p>
        </w:tc>
        <w:tc>
          <w:tcPr>
            <w:tcW w:w="5000" w:type="dxa"/>
          </w:tcPr>
          <w:p>
            <w:pPr/>
            <w:r>
              <w:rPr>
                <w:b/>
                <w:rFonts w:ascii="[FontFamily: Name=Calibri]" w:hAnsi="[FontFamily: Name=Calibri]" w:cs="[FontFamily: Name=Calibri]" w:eastAsia="[FontFamily: Name=Calibri]"/>
                <w:sz w:val="18"/>
                <w:szCs w:val="18"/>
              </w:rPr>
              <w:t xml:space="preserve">Indicator 4.1.4A:  </w:t>
            </w:r>
            <w:r>
              <w:rPr>
                <w:rFonts w:ascii="[FontFamily: Name=Calibri]" w:hAnsi="[FontFamily: Name=Calibri]" w:cs="[FontFamily: Name=Calibri]" w:eastAsia="[FontFamily: Name=Calibri]"/>
                <w:sz w:val="18"/>
                <w:szCs w:val="18"/>
              </w:rPr>
              <w:t>Number of non-state actors who report increased skills and knowledge in content areas associated with the implementation of WPS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Members from ASEAN Sectoral bodies and ASEAN institutions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724,197.00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1,267,650.00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living in Indonesia, especially those at risk of being left furthest behind, are empowered to fulfil their human development potential as members of a pluralistic, tolerant, inclusive, and just society, free of gender and all other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Number of joint programme with UNW on PVE with gender analysis (SP indicator 13.4)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target is for the SN period, so ‘annual milestones’ or targets would not be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target is for the SN period, so ‘annual milestones’ or targets would not be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TBC in the first year of SN implementation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Number of legal frameworks to promote, enforce, and monitor equality and non-discrimination on the basis of sex (SP 2.6, SDG 5.1.1, UNSDCF outcome 1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National Gender Mainstreaming Policy enacted in 2000 (through The Presidential Decree in) guides the National Long-term Development Plan (RPJPN) 2005- 2025 as well as the recent amendment of law to increase the legal age of marriage to 19 years old for both men and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legislation and official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has increased capacity to produce gender data and analysis to develop and implement gender-responsive DRR policies and programmes</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 of key government officers who have increased capacity or have expressed more confidence in producing and/or using gender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concept notes, facilitation guides,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Existence of a gender-sensitive disaster risk assessment supported by UN Women (SP indicator 5.15.1)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same risk assessment be updated annually after the initial formulation is done in year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same risk assessment be updated annually after the initial formulation is done in year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same risk assessment be updated annually after the initial formulation is done in year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same risk assessment be updated annually after the initial formulation is done in year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Disaster risk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4.2.2C:  </w:t>
            </w:r>
            <w:r>
              <w:rPr>
                <w:rFonts w:ascii="[FontFamily: Name=Calibri]" w:hAnsi="[FontFamily: Name=Calibri]" w:cs="[FontFamily: Name=Calibri]" w:eastAsia="[FontFamily: Name=Calibri]"/>
                <w:sz w:val="18"/>
                <w:szCs w:val="18"/>
              </w:rPr>
              <w:t># of DRR policies/programmes that address gender-specific disaster risks developed with UN Women support (SP indicator 5.15.2)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Policies and/or programme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Elected women and women candidates have technical and leadership skills to participate in decision-making processes related to the protection of the rights of women and girls, and to the prevention of radicalization and violent extremism</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elected women engaged in technical and leadership skills development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Consultation and 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4.2.3B:  </w:t>
            </w:r>
            <w:r>
              <w:rPr>
                <w:rFonts w:ascii="[FontFamily: Name=Calibri]" w:hAnsi="[FontFamily: Name=Calibri]" w:cs="[FontFamily: Name=Calibri]" w:eastAsia="[FontFamily: Name=Calibri]"/>
                <w:sz w:val="18"/>
                <w:szCs w:val="18"/>
              </w:rPr>
              <w:t>Number of women candidates engaged in technical and leadership skills development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Consultation and 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4.2.3C:  </w:t>
            </w:r>
            <w:r>
              <w:rPr>
                <w:rFonts w:ascii="[FontFamily: Name=Calibri]" w:hAnsi="[FontFamily: Name=Calibri]" w:cs="[FontFamily: Name=Calibri]" w:eastAsia="[FontFamily: Name=Calibri]"/>
                <w:sz w:val="18"/>
                <w:szCs w:val="18"/>
              </w:rPr>
              <w:t>Number of decision-making processes influenced by women who underwent the skills development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Consultation and 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Communities have enhanced capacities to promote social cohesion, resilience against shocks and counter violent extremism</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Number of communities which develop community action plans for gender-responsive PVE with capacity-building support on Human Security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Evaluation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4.2.4B:  </w:t>
            </w:r>
            <w:r>
              <w:rPr>
                <w:rFonts w:ascii="[FontFamily: Name=Calibri]" w:hAnsi="[FontFamily: Name=Calibri]" w:cs="[FontFamily: Name=Calibri]" w:eastAsia="[FontFamily: Name=Calibri]"/>
                <w:sz w:val="18"/>
                <w:szCs w:val="18"/>
              </w:rPr>
              <w:t>A platform for sharing community-based solutions for PVE that are gender-responsive including good practices and lessons learned is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platform is anticipated to be established in 2021 and will continued to be updated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platform is anticipated to be established in 2021 and will continued to be updated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platform is anticipated to be established in 2021 and will continued to be updated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platform is anticipated to be established in 2021 and will continued to be updated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4.2.3C:  </w:t>
            </w:r>
            <w:r>
              <w:rPr>
                <w:rFonts w:ascii="[FontFamily: Name=Calibri]" w:hAnsi="[FontFamily: Name=Calibri]" w:cs="[FontFamily: Name=Calibri]" w:eastAsia="[FontFamily: Name=Calibri]"/>
                <w:sz w:val="18"/>
                <w:szCs w:val="18"/>
              </w:rPr>
              <w:t>number of communities that conducted community dialogue on women’s access to justice in connection to social cohesion and peaceful communities and implemented already existing community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and M&amp;E Documents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4.2.3D:  </w:t>
            </w:r>
            <w:r>
              <w:rPr>
                <w:rFonts w:ascii="[FontFamily: Name=Calibri]" w:hAnsi="[FontFamily: Name=Calibri]" w:cs="[FontFamily: Name=Calibri]" w:eastAsia="[FontFamily: Name=Calibri]"/>
                <w:sz w:val="18"/>
                <w:szCs w:val="18"/>
              </w:rPr>
              <w:t>Country mapping to establish COVID-19 impact on women’s legal and economic rights and government’s status on leverage of e-justice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Mapping report from the selected partner and Policy Brief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4.2.3E:  </w:t>
            </w:r>
            <w:r>
              <w:rPr>
                <w:rFonts w:ascii="[FontFamily: Name=Calibri]" w:hAnsi="[FontFamily: Name=Calibri]" w:cs="[FontFamily: Name=Calibri]" w:eastAsia="[FontFamily: Name=Calibri]"/>
                <w:sz w:val="18"/>
                <w:szCs w:val="18"/>
              </w:rPr>
              <w:t>Number of communities with Action Plans for gender-responsive and inclusive resilience (social cohesion, conflict prevention, and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village plan of action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4.2.3F:  </w:t>
            </w:r>
            <w:r>
              <w:rPr>
                <w:rFonts w:ascii="[FontFamily: Name=Calibri]" w:hAnsi="[FontFamily: Name=Calibri]" w:cs="[FontFamily: Name=Calibri]" w:eastAsia="[FontFamily: Name=Calibri]"/>
                <w:sz w:val="18"/>
                <w:szCs w:val="18"/>
              </w:rPr>
              <w:t>Number of beneficiaries participated in the capacity building activities of gender-responsive intervention in the community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334,176.00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684,720.00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392,944.00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2,241,840.00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Youth have skills to generate alternative narratives for the prevention of radicalization and violent extremism</w:t>
            </w:r>
          </w:p>
        </w:tc>
        <w:tc>
          <w:tcPr>
            <w:tcW w:w="5000" w:type="dxa"/>
          </w:tcPr>
          <w:p>
            <w:pPr/>
            <w:r>
              <w:rPr>
                <w:b/>
                <w:rFonts w:ascii="[FontFamily: Name=Calibri]" w:hAnsi="[FontFamily: Name=Calibri]" w:cs="[FontFamily: Name=Calibri]" w:eastAsia="[FontFamily: Name=Calibri]"/>
                <w:sz w:val="18"/>
                <w:szCs w:val="18"/>
              </w:rPr>
              <w:t xml:space="preserve">Indicator 4.2.5A:  </w:t>
            </w:r>
            <w:r>
              <w:rPr>
                <w:rFonts w:ascii="[FontFamily: Name=Calibri]" w:hAnsi="[FontFamily: Name=Calibri]" w:cs="[FontFamily: Name=Calibri]" w:eastAsia="[FontFamily: Name=Calibri]"/>
                <w:sz w:val="18"/>
                <w:szCs w:val="18"/>
              </w:rPr>
              <w:t>Number of gender-responsive interventions to generate alternative narrative to counter radicalization and violent extremism led by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and systems have increased capacity to promote tolerance and discourage violent extremism among family members and relatives of those convicted or accused of terrorism/violent extremism offenses</w:t>
            </w:r>
          </w:p>
        </w:tc>
        <w:tc>
          <w:tcPr>
            <w:tcW w:w="5000" w:type="dxa"/>
          </w:tcPr>
          <w:p>
            <w:pPr/>
            <w:r>
              <w:rPr>
                <w:b/>
                <w:rFonts w:ascii="[FontFamily: Name=Calibri]" w:hAnsi="[FontFamily: Name=Calibri]" w:cs="[FontFamily: Name=Calibri]" w:eastAsia="[FontFamily: Name=Calibri]"/>
                <w:sz w:val="18"/>
                <w:szCs w:val="18"/>
              </w:rPr>
              <w:t xml:space="preserve">Indicator 4.2.6A:  </w:t>
            </w:r>
            <w:r>
              <w:rPr>
                <w:rFonts w:ascii="[FontFamily: Name=Calibri]" w:hAnsi="[FontFamily: Name=Calibri]" w:cs="[FontFamily: Name=Calibri]" w:eastAsia="[FontFamily: Name=Calibri]"/>
                <w:sz w:val="18"/>
                <w:szCs w:val="18"/>
              </w:rPr>
              <w:t>Number of evidence-based research studies developed to identify the root causes of violent extremism through gender and human security lens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production of one research piece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Research products and 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4.2.6B:  </w:t>
            </w:r>
            <w:r>
              <w:rPr>
                <w:rFonts w:ascii="[FontFamily: Name=Calibri]" w:hAnsi="[FontFamily: Name=Calibri]" w:cs="[FontFamily: Name=Calibri]" w:eastAsia="[FontFamily: Name=Calibri]"/>
                <w:sz w:val="18"/>
                <w:szCs w:val="18"/>
              </w:rPr>
              <w:t>Number of national and sub-national level policymakers who underwent a quality training module for C/PVE informed by community-level experiences and human security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people at the national level; and 150 people at the subnational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delay in implementation was due to COVID19 outbreak in early March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evaluation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4.2.6D:  </w:t>
            </w:r>
            <w:r>
              <w:rPr>
                <w:rFonts w:ascii="[FontFamily: Name=Calibri]" w:hAnsi="[FontFamily: Name=Calibri]" w:cs="[FontFamily: Name=Calibri]" w:eastAsia="[FontFamily: Name=Calibri]"/>
                <w:sz w:val="18"/>
                <w:szCs w:val="18"/>
              </w:rPr>
              <w:t>Number of institutions of the justice and security sectors with strengthened capacity to mainstream gender perspectives and promote the rights of women and girls in conflict, post-conflict, and other crisis situations (SP indicator 5.13.1)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Evaluation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4.2.5E:  </w:t>
            </w:r>
            <w:r>
              <w:rPr>
                <w:rFonts w:ascii="[FontFamily: Name=Calibri]" w:hAnsi="[FontFamily: Name=Calibri]" w:cs="[FontFamily: Name=Calibri]" w:eastAsia="[FontFamily: Name=Calibri]"/>
                <w:sz w:val="18"/>
                <w:szCs w:val="18"/>
              </w:rPr>
              <w:t>Number of evidence-based policy research, data, or good-practices on GEWE and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availability of policy research or good practices, government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4.2.5F:  </w:t>
            </w:r>
            <w:r>
              <w:rPr>
                <w:rFonts w:ascii="[FontFamily: Name=Calibri]" w:hAnsi="[FontFamily: Name=Calibri]" w:cs="[FontFamily: Name=Calibri]" w:eastAsia="[FontFamily: Name=Calibri]"/>
                <w:sz w:val="18"/>
                <w:szCs w:val="18"/>
              </w:rPr>
              <w:t>Number of tools and policy recommendations developed for the national and local government use incorporating GEWE considerations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215,756.00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1,015,756.00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Indonesian government has increased knowledge and capacities to mainstream gender considerations into social protection interventions, to reduce women's vulnerabilities and increase their resilience against shocks</w:t>
            </w:r>
          </w:p>
        </w:tc>
        <w:tc>
          <w:tcPr>
            <w:tcW w:w="5000" w:type="dxa"/>
          </w:tcPr>
          <w:p>
            <w:pPr/>
            <w:r>
              <w:rPr>
                <w:b/>
                <w:rFonts w:ascii="[FontFamily: Name=Calibri]" w:hAnsi="[FontFamily: Name=Calibri]" w:cs="[FontFamily: Name=Calibri]" w:eastAsia="[FontFamily: Name=Calibri]"/>
                <w:sz w:val="18"/>
                <w:szCs w:val="18"/>
              </w:rPr>
              <w:t xml:space="preserve">Indicator 4.2.7A:  </w:t>
            </w:r>
            <w:r>
              <w:rPr>
                <w:rFonts w:ascii="[FontFamily: Name=Calibri]" w:hAnsi="[FontFamily: Name=Calibri]" w:cs="[FontFamily: Name=Calibri]" w:eastAsia="[FontFamily: Name=Calibri]"/>
                <w:sz w:val="18"/>
                <w:szCs w:val="18"/>
              </w:rPr>
              <w:t>No. of integrated rights-based gender-responsive social protection solutions that UN Women has supported the government in reducing economic and social vulnerabilities and increase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government has implemented a wide variety of social protection scheme that is gender sensitive - targeting women beneficiaries within the household such as PKH/family hope programme. But all the existing schemes including PKH is not designed to promote gender equality or promote gender responsive/inclusive decision making or changing the household dynamic to empower women as primary objectives.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BAPPENAS (Ministry of Planning), Ministry of Women Empowerment and Child Protection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4.2.7B:  </w:t>
            </w:r>
            <w:r>
              <w:rPr>
                <w:rFonts w:ascii="[FontFamily: Name=Calibri]" w:hAnsi="[FontFamily: Name=Calibri]" w:cs="[FontFamily: Name=Calibri]" w:eastAsia="[FontFamily: Name=Calibri]"/>
                <w:sz w:val="18"/>
                <w:szCs w:val="18"/>
              </w:rPr>
              <w:t>Estimated number of women benefiting from the gender responsive social protection interventions implemented by the government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Women Empowerment and Child Protection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351,270.00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286,350.00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stakeholders at local and national level have increased capacity to develop and implement WPS policies and related frameworks to enhance women’s participation in conflict prevention, resolution and recovery</w:t>
            </w:r>
          </w:p>
        </w:tc>
        <w:tc>
          <w:tcPr>
            <w:tcW w:w="5000" w:type="dxa"/>
          </w:tcPr>
          <w:p>
            <w:pPr/>
            <w:r>
              <w:rPr>
                <w:b/>
                <w:rFonts w:ascii="[FontFamily: Name=Calibri]" w:hAnsi="[FontFamily: Name=Calibri]" w:cs="[FontFamily: Name=Calibri]" w:eastAsia="[FontFamily: Name=Calibri]"/>
                <w:sz w:val="18"/>
                <w:szCs w:val="18"/>
              </w:rPr>
              <w:t xml:space="preserve">Indicator 4.2.7A:  </w:t>
            </w:r>
            <w:r>
              <w:rPr>
                <w:rFonts w:ascii="[FontFamily: Name=Calibri]" w:hAnsi="[FontFamily: Name=Calibri]" w:cs="[FontFamily: Name=Calibri]" w:eastAsia="[FontFamily: Name=Calibri]"/>
                <w:sz w:val="18"/>
                <w:szCs w:val="18"/>
              </w:rPr>
              <w:t>Number of state actors who report increased skills and knowledge in content areas associated with the implementation of WPS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Non-state actors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4.2.7B:  </w:t>
            </w:r>
            <w:r>
              <w:rPr>
                <w:rFonts w:ascii="[FontFamily: Name=Calibri]" w:hAnsi="[FontFamily: Name=Calibri]" w:cs="[FontFamily: Name=Calibri]" w:eastAsia="[FontFamily: Name=Calibri]"/>
                <w:sz w:val="18"/>
                <w:szCs w:val="18"/>
              </w:rPr>
              <w:t>Number of government stakeholders at national and local level that report and increase knowledge to implement policies and programmes to promote GEWE along the peace-humanitarian nexus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 baseline and endline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able to gain influence and benefits from local policies, plans, and mechanisms that build resilience</w:t>
            </w:r>
          </w:p>
        </w:tc>
        <w:tc>
          <w:tcPr>
            <w:tcW w:w="5000" w:type="dxa"/>
          </w:tcPr>
          <w:p>
            <w:pPr/>
            <w:r>
              <w:rPr>
                <w:b/>
                <w:rFonts w:ascii="[FontFamily: Name=Calibri]" w:hAnsi="[FontFamily: Name=Calibri]" w:cs="[FontFamily: Name=Calibri]" w:eastAsia="[FontFamily: Name=Calibri]"/>
                <w:sz w:val="18"/>
                <w:szCs w:val="18"/>
              </w:rPr>
              <w:t xml:space="preserve">Indicator 4.2.8A:  </w:t>
            </w:r>
            <w:r>
              <w:rPr>
                <w:rFonts w:ascii="[FontFamily: Name=Calibri]" w:hAnsi="[FontFamily: Name=Calibri]" w:cs="[FontFamily: Name=Calibri]" w:eastAsia="[FontFamily: Name=Calibri]"/>
                <w:sz w:val="18"/>
                <w:szCs w:val="18"/>
              </w:rPr>
              <w:t>Number of women participated in the capacity building training or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 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4.2.8B:  </w:t>
            </w:r>
            <w:r>
              <w:rPr>
                <w:rFonts w:ascii="[FontFamily: Name=Calibri]" w:hAnsi="[FontFamily: Name=Calibri]" w:cs="[FontFamily: Name=Calibri]" w:eastAsia="[FontFamily: Name=Calibri]"/>
                <w:sz w:val="18"/>
                <w:szCs w:val="18"/>
              </w:rPr>
              <w:t>Number of capacity building training or dialogues on gender-responsive action plans with women's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1,922,092.00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884,443.00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874,827.00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542,643.00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4,224,005.00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73,270.00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1,351,202.00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1,769,720.00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1,337,944.00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326,350.00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6,908,866.00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73,270.00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3,273,294.00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2,014,443.00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2,194,827.00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2,312,363.00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1,337,944.00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326,350.00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11,132,871.00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Indonesia realizes its commitments to universal human rights, enabling an inclusive approach to human development with overarching development goal of ‘leaving no one behind’ measured by a significant reduction in inequalities of all kinds (SDG 5 and 10) and substantial progress in the eradication of poverty (SDG 1).</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UNSCDF Outcome 1: People living in Indonesia, especially those at risk of being left furthest behind, are empowered to fulfil their human development potential as members of a pluralistic, tolerant, inclusive, and just society, free of gender and all other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living in Indonesia, especially those at risk of being left furthest behind, are empowered to fulfil their human development potential as members of a pluralistic, tolerant, inclusive, and just society, free of gender and all other forms of discrimination, and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Availability of data on the proportion of ever-partnered women and girls 15 and older subjected to violence by a current or former intimate partner in the previous 12 months (SP Impact Indicator 3, SDG 5.2.1, UNSDCF outcome 1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It is anticipated that the data will be made available through the support of the UN system, including UN Women during the whole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Data is not yet available in the national official statistics as of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Statistical Office BPS and Komnas Perempuan (to be made available during SN 2021-2025)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Percentage of women, aged 15 to 64 years old, had experienced physical and/or sexual violence in her lifetime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understand the effectiveness of policy/programme intervention to end violence against women/girls, we need to measure/track if there has been a greater reduction of violence in the 12-month vis-à-vis the lifetime indicators. So even if there may not be a significant reduction of the VAW for the lifetime indicator but the progress can be measured through the greater reduction in the 12 month indicators compared to the lifetime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the Special Rapporteur on VAW, Concluding Observation of CEDAW and UPR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has capacity to develop, implement, and monitor laws, policies, and practices on prevention and response to VAW using rights-based and survivor-centered approaches.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 of laws, policies, or national SOPs that have been developed or amended to promote women's rights or rights-based and survivor-centered approaches with the support of UN Women, disaggregated by specific marginalized groups of women, including migrant workers, women living with HIV, women with disabilities, among others.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Official government documents and SAF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Existence of dedicated national strategy/action plan on eliminating VAW, which includes women migrants and addresses social norms, attitudes and behavior transformation developed with UN Women support (SP indicator 4.11.1)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expected to achieve as 'yes'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expected to achieve as 'yes'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expected to achieve as 'yes'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SAF Scoping Study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NAP draft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 of assessment studies and analysis of government capacity and performance on implementation of laws and policies to prevent and respond to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needs assessment and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has increased capacity to coordinate multi-sectoral GBV service provision for women and girls subjected to violence, including COVID 19 response and recovery.</w:t>
            </w:r>
          </w:p>
        </w:tc>
        <w:tc>
          <w:tcPr>
            <w:tcW w:w="5000" w:type="dxa"/>
          </w:tcPr>
          <w:p>
            <w:pP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 number of referral mechanisms for follow-up services for women by front-line service providers (disaggregated by target groups ie. migrants, with disabilities, WLHIV) that response to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Kalyanamitra and other partner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 of guidelines, protocols, local SOPs on the provision of quality services for survivors developed with UN Women support (SP indicator 4.11.3)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Published MOWECP Protocol for Handling GBV and Trafficking Cases of Women Migrant Workers during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Kalyanamitra and other partner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Draft SOPs/Protocols/Guidelines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groups, CSOs, and labour unions have capacity to mobilize for the prevention of violence and trafficking in women, including in the migration cycle.</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 of users of community-based women-led networks supported by UN Women active in preventing VAW and trafficking (disaggregated by target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users of  women community networks in West Java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Kalyanamitra and other partners' Progress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 of women who are provided with information about women's right to access quality essential services for survivors with UN Women support (disaggregated by migrants, and other target groups) (SP indicator 4.11.4)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SAF annual Progress Report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Kalyanamitra and other partners Progress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995,411.00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256,810.00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2,425,411.00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 providers have increased capacity to respond to the needs of women experiencing violence and/or trafficking.</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 of women who receive assistance from front-line service providers (disaggregated by target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regarding the expected number for 2020 in SAF annual progress report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Kalyanamitra, SAPA Institute, Pasundan Durebang, IPPI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 of front-line service providers trained to handle women’s protection issues in a coordinated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regarding the expected number for 2020 in SAF annual progress report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Kalyanamitra and other partners'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3.1.4C:  </w:t>
            </w:r>
            <w:r>
              <w:rPr>
                <w:rFonts w:ascii="[FontFamily: Name=Calibri]" w:hAnsi="[FontFamily: Name=Calibri]" w:cs="[FontFamily: Name=Calibri]" w:eastAsia="[FontFamily: Name=Calibri]"/>
                <w:sz w:val="18"/>
                <w:szCs w:val="18"/>
              </w:rPr>
              <w:t># of joint task forces on women’s protection that are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SAF Scoping Study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Kalyanamitra Progress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3.1.4D:  </w:t>
            </w:r>
            <w:r>
              <w:rPr>
                <w:rFonts w:ascii="[FontFamily: Name=Calibri]" w:hAnsi="[FontFamily: Name=Calibri]" w:cs="[FontFamily: Name=Calibri]" w:eastAsia="[FontFamily: Name=Calibri]"/>
                <w:sz w:val="18"/>
                <w:szCs w:val="18"/>
              </w:rPr>
              <w:t># of formal justice actors and informal justice adjudicators participate in dialogues and agree on practical steps to enhance women's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Accumulated target,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Accumulated target,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Accumulated target,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statistics office and relevant line ministries are able to produce and apply policy-relevant official data and analysis relating to violence against women and women's labor migration</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 of capacity development interventions supported by UN Women aimed at improving production of data on VAW, including VAW migrant workers and those living with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Webinar series on VAW administrative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3.1.5C:  </w:t>
            </w:r>
            <w:r>
              <w:rPr>
                <w:rFonts w:ascii="[FontFamily: Name=Calibri]" w:hAnsi="[FontFamily: Name=Calibri]" w:cs="[FontFamily: Name=Calibri]" w:eastAsia="[FontFamily: Name=Calibri]"/>
                <w:sz w:val="18"/>
                <w:szCs w:val="18"/>
              </w:rPr>
              <w:t># of new collection methods, tools, data sets developed with UN Women support on VAW, including VAW migrant workers and those living with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SAF and HIV annual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campaigns to change attitudes and behaviors, and address VAW and gender based discrimination of women, including migrant workers, are implemented</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 of campaigns supported by UN Women to address VAW, trafficking and gender based discrimination of women in total, out of which # of campaigns focusing on  migrant workers, HIV persons, PWDs,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regarding the expected number for 2020 in SAF annual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Kalyanamitra and other partners'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 of persons reached through campaigns to address VAW, trafficking and gender based discrimination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regarding the expected number for 2020 in SAF annual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Quantitative calculation based on campaign events and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5,479,411.00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256,810.00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14,059,411.00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5,479,411.00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256,810.00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14,059,411.00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Indonesia realizes its commitments to universal human rights, enabling an inclusive approach to human development with overarching development goal of ‘leaving no one behind’ measured by a significant reduction in inequalities of all kinds (SDG 5 and 10) and substantial progress in the eradication of poverty (SDG 1).</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UNSCDF Outcome 2: Institutions and people contribute more effectively to advance a higher value-added and inclusive economic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and people contribute more effectively to advance a higher value-added and inclusive economic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women with enhanced skills to participate in the economy, including as entrepreneurs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confirmed in the first year of SN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 double check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and publications. To be confirmed in the first year of SN implementation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collective approaches/practices to promote WEE which UN Women has had an influence in Indonesia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progress report - TBC during first year of SN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Percentage of female unemployment rate (aligned with UNSDCF outcome 2 indicator (4), SDG 8.5.2)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Labour force survey latest years available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Female labour force participation rate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54,56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Labour Force Survey. ILO STAT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Women-owned businesses and entrepreneurs have increased capacity to engage with the government and private sector to influence policies and hold dialogues for advancement of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processes related to national level policy dialogue on WEE which have been influenced by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processes related to sub-national level policy dialogue on WEE which have been influenced by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entrepreneurs have technical and digital skills and knowledge to increase their productivity and participation in entrepreneurial activities and they have better access to financial support and supply chains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with strengthened capacities and skills to participate in the economy with UN Women's support (SP indicator 3.9.1; disaggregation required by UN Women is by geographical location - urban/rural, age, migration status, disability status, ethnicity, HIV/AIDS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new educational modules on entrepreneurship on the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Platform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women entrepreneurs supported to access finance and gender-responsive financial products and services with UN Women's support (SP indicator 3.9.2; disaggregation required by UN Women is by: same as 2.1.2A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16,362.00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254,510.00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854,510.00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private sector and state-owned companies commit to WEPs and have capacity to implement them to advance gender-responsive business culture and practices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WEPs signatories ( SP indicator 3.9.4)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WPs signatories reporting to have an action plan for WEPs implementation and/or case studies about WEPs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WP signatories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ministries are able to integrate WEPs in policy and regulations to standardize gender-responsive business culture and practices</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ministries personnel who reported increased capacity development to integrate WEPs in policy and regulations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policies/regulations developed with UN Women support that contribute to standardization of gender-responsive business culture and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business/entrepreneurial networks, public institutions and the private sector share expertise and knowledge to advance an enabling business environment for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2.1.5A:  </w:t>
            </w:r>
            <w:r>
              <w:rPr>
                <w:rFonts w:ascii="[FontFamily: Name=Calibri]" w:hAnsi="[FontFamily: Name=Calibri]" w:cs="[FontFamily: Name=Calibri]" w:eastAsia="[FontFamily: Name=Calibri]"/>
                <w:sz w:val="18"/>
                <w:szCs w:val="18"/>
              </w:rPr>
              <w:t>A Percentage of participants/ readers of the platform who report having benefited from the shared content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Feedback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192,669.00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542,669.00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26,362.00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697,179.00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2,797,179.00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26,362.00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697,179.00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198,810.00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2,797,179.00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Indonesia realizes its commitments to universal human rights, enabling an inclusive approach to human development with overarching development goal of ‘leaving no one behind’ measured by a significant reduction in inequalities of all kinds (SDG 5 and 10) and substantial progress in the eradication of poverty (SDG 1).</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UNSCDF Outcome 4: Stakeholders adopt innovative and integrated development solutions to accelerate advancement towards the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Stakeholders adopt innovative and integrated development solutions to accelerate advancement towards the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Gender-responsive budgeting (GRB) has been integrated into public finance management systems by the concerned government institutions including Ministry of Finance and/or Planning Ministry (BAPPENAS)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BAPPENAS and Ministry of Finance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Gender-responsive budgeting has been integrated into the advocacy work of national women's machineries and women's organizations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Women Empowerment and Child Protection and other official/government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In the reporting year, Indonesia has developed or implemented a National Strategy for the Development of Statistics (NSDS) that integrates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Indonesia National Statistical Office (BPS) and UN Women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stakeholders have increased capacity and access to the tools for implementing GRB and promoting innovative financing mechanisms for gender equality and women’s empowerment in Indonesia.</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stakeholders who report increased understanding of GRB interventions/tools as well as knowledge to integrate GRB into PFM system (related to SP output indicators 5.2 and 5.4)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Evaluation results and surveys of client feedback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statistical system has increased capacity to produce and analyze gender-sensitive data and statistics to support an enabling policy environment to promote gender equality and women’s empowerment</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data producers and users with strengthened capacities in the collection, analysis, dissemination and use of gender statistics, including improving Tier II and Tier III SDG indicators, with UN Women support (SP indicator 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BPS, development and official reports from the government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national reports on (a) the implementation of the SDGs from a gender perspective or (b) the status of women, men, girls, and boys in the country developed with UN Women support (SP indicator 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to support voluntary national review of the SDGs in Indonesia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Counting Cost of COVID19: Impact on gender equality and SDGs in Indonesia released by UN Women in partnership with Indosat funded by UN MPTF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and or UN Women reports published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has the capacity to integrate gender equality into policy-making informed by Gender Responsive Indicators and data in support of SDGs implementation</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 of gender responsive data sets available and utilize for policy-making and government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report/SDG National Action Plan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31a5387f03f4d98" Type="http://schemas.openxmlformats.org/officeDocument/2006/relationships/numbering" Target="/word/numbering.xml"/><Relationship Id="Reab53f4db693428e" Type="http://schemas.openxmlformats.org/officeDocument/2006/relationships/image" Target="/word/media/08b2ba0c-1c29-4709-ac19-5b11c1a5c8f3.jpeg"/><Relationship Id="R44b46fff19384493" Type="http://schemas.openxmlformats.org/officeDocument/2006/relationships/footer" Target="/word/footer3.xml"/><Relationship Id="rId3" Type="http://schemas.openxmlformats.org/officeDocument/2006/relationships/customXml" Target="../customXml/item3.xml"/><Relationship Id="R66c624d686e24910" Type="http://schemas.openxmlformats.org/officeDocument/2006/relationships/styles" Target="/word/styles.xml"/><Relationship Id="rId2" Type="http://schemas.openxmlformats.org/officeDocument/2006/relationships/customXml" Target="../customXml/item2.xml"/><Relationship Id="R317ff8556932431f" Type="http://schemas.openxmlformats.org/officeDocument/2006/relationships/image" Target="/word/media/90801715-e5b5-4a19-8446-71927fa003c0.jpeg"/><Relationship Id="Rf53272fa716b445f" Type="http://schemas.openxmlformats.org/officeDocument/2006/relationships/footer" Target="/word/footer2.xml"/><Relationship Id="rId1" Type="http://schemas.openxmlformats.org/officeDocument/2006/relationships/customXml" Target="../customXml/item1.xml"/><Relationship Id="R03bfe4f6b48b4c30" Type="http://schemas.openxmlformats.org/officeDocument/2006/relationships/footer" Target="/word/footer1.xml"/><Relationship Id="Rb81ee2c8d6434cf7"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D66CE6AF-65E1-4F21-988F-20BAE589508B}"/>
</file>

<file path=customXml/itemProps2.xml><?xml version="1.0" encoding="utf-8"?>
<ds:datastoreItem xmlns:ds="http://schemas.openxmlformats.org/officeDocument/2006/customXml" ds:itemID="{DB898DE1-AA44-4DAC-9702-8A8E61845F3E}"/>
</file>

<file path=customXml/itemProps3.xml><?xml version="1.0" encoding="utf-8"?>
<ds:datastoreItem xmlns:ds="http://schemas.openxmlformats.org/officeDocument/2006/customXml" ds:itemID="{4B2DD91B-9D2F-4C0A-A66C-A1ADEEDEACA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