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a1bde11724514f1a"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ffd3c158265442d7"/>
      <w:footerReference w:type="even" r:id="R8cb9d84760ec416c"/>
      <w:footerReference w:type="first" r:id="R15e737fe1c164847"/>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8bc01dd8864e2d"/>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a35db31deb411b"/>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Kyrgyzstan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2: By 2022, institutions at all levels are more accountable and inclusive ensuring justice, human rights, gender equality and sustainable peace for all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men, especially youth, value social norms supporting gender equality and women’s empowerment at individual and community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Proportion of women and men, who believe that in certain cases marriage of minors may be excused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Women 54%</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Men 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Omnibus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Proportion of women and men who believe that men make better leaders than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Omnibus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78,5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Women 74%</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Men 83%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NSC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Youth, women and men are able to transform gender power relations within families and communities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new “community champions” each year who command tools of the Gender Action Learning System and are able to train community members on using the tools as per the methodology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champions are to be trained within expected GPI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15 champions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RP's narrative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389,615.00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266,297.00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77,581.00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256,940.00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313,376.00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1,303,809.00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Young women and men have increased understanding on gender equality and inclusion and how to promote respectful relationships and non-violent communication</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training participants who have increased understanding on gender equality and inclusion and how to promote it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700 girls and 300 boys (number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1400 girls and 600 boys (number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1400 women and 600 men (number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1400 women and 600 men (number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700 girls and 300 boys (number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trained for SN period 2015-2017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Percentage of trained participants on gender equality, social inclusion, peacebuilding who promote and advocate for these values at the individual and community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70% girls and 30%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70% girls and 30%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70% women and girls and 30% men and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70% women and girls and 30% men and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70% women and girls and 30% men and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and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170,594.00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249,080.00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318,471.00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183,539.00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1,423,684.00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Economic Empowerment: Rural women have enhanced leadership and participation in their communities and in rural institutions, and in shaping laws, policies and programmes</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Number of rural women participating in policy lobbying activities at local and central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the context of the JP-ARWEE programme phase that started in January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the context of the JP-ARWEE programme phase that started in January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monitoring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3.1.4C:  </w:t>
            </w:r>
            <w:r>
              <w:rPr>
                <w:rFonts w:ascii="[FontFamily: Name=Calibri]" w:hAnsi="[FontFamily: Name=Calibri]" w:cs="[FontFamily: Name=Calibri]" w:eastAsia="[FontFamily: Name=Calibri]"/>
                <w:sz w:val="18"/>
                <w:szCs w:val="18"/>
              </w:rPr>
              <w:t>Number of  women implemented of economic initiatives with support of the program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the context of the JP-ARWEE programme phase that started in January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15 SGHs were supported with equipment for their economic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and Program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126,447.00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224,346.00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670,638.00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affected by COVID-19 crisis in target localities have improved access to livelihood opportunities, skills development and leadership</w:t>
            </w:r>
          </w:p>
        </w:tc>
        <w:tc>
          <w:tcPr>
            <w:tcW w:w="5000" w:type="dxa"/>
          </w:tcPr>
          <w:p>
            <w:pPr/>
            <w:r>
              <w:rPr>
                <w:b/>
                <w:rFonts w:ascii="[FontFamily: Name=Calibri]" w:hAnsi="[FontFamily: Name=Calibri]" w:cs="[FontFamily: Name=Calibri]" w:eastAsia="[FontFamily: Name=Calibri]"/>
                <w:sz w:val="18"/>
                <w:szCs w:val="18"/>
              </w:rPr>
              <w:t xml:space="preserve">Indicator 3.1.5A:  </w:t>
            </w:r>
            <w:r>
              <w:rPr>
                <w:rFonts w:ascii="[FontFamily: Name=Calibri]" w:hAnsi="[FontFamily: Name=Calibri]" w:cs="[FontFamily: Name=Calibri]" w:eastAsia="[FontFamily: Name=Calibri]"/>
                <w:sz w:val="18"/>
                <w:szCs w:val="18"/>
              </w:rPr>
              <w:t>Number of rural women from Kyrgyzstan who participate in training to increase knowledge and skills and engage to conduct small-scale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500 women trained and 100 women out of them engaged in small-scale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and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3.1.5B:  </w:t>
            </w:r>
            <w:r>
              <w:rPr>
                <w:rFonts w:ascii="[FontFamily: Name=Calibri]" w:hAnsi="[FontFamily: Name=Calibri]" w:cs="[FontFamily: Name=Calibri]" w:eastAsia="[FontFamily: Name=Calibri]"/>
                <w:sz w:val="18"/>
                <w:szCs w:val="18"/>
              </w:rPr>
              <w:t>Number of households  who participate in community advocacy initiatives for redistribution of domestic work in Kyrgyzstan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  households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Partners' and project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3.1.5C:  </w:t>
            </w:r>
            <w:r>
              <w:rPr>
                <w:rFonts w:ascii="[FontFamily: Name=Calibri]" w:hAnsi="[FontFamily: Name=Calibri]" w:cs="[FontFamily: Name=Calibri]" w:eastAsia="[FontFamily: Name=Calibri]"/>
                <w:sz w:val="18"/>
                <w:szCs w:val="18"/>
              </w:rPr>
              <w:t>Number of rural women activists who participated in dialogue with local governments for crisis preparedness planning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Partners' and project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3.1.5D:  </w:t>
            </w:r>
            <w:r>
              <w:rPr>
                <w:rFonts w:ascii="[FontFamily: Name=Calibri]" w:hAnsi="[FontFamily: Name=Calibri]" w:cs="[FontFamily: Name=Calibri]" w:eastAsia="[FontFamily: Name=Calibri]"/>
                <w:sz w:val="18"/>
                <w:szCs w:val="18"/>
              </w:rPr>
              <w:t>Number of gender responsive plans or policies on COVID-19 informed and supported through gender data, analysis and policy dialogues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201,480.00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400,480.00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Service providers are better able to prevent VAWG and deliver essential services to victims and survivors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The number of registered cases reported by victims of violence increased by 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NSC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Normative and policy frameworks are promoted and adapted in line with international standards, and institutions have the commitment, knowledge and capacities to legislate, plan, implement and monitor policies to address VAWG and femicide.</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Number of draft new and/or strengthened laws and/or policies on ending VAWG, including DV/IPV, and/or gender equality and non-discrimination developed that respond to the rights of women and girls, particularly those facing intersecting and multiple forms of discrimination, and are in line with international HR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DV Law_Amendment to the existing one within legal inventory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NGES until 2030 and its NAP 2021-2023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Ministry website (MLSD)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27,823.00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139,342.00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27,823.00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144,842.00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officials at national and/or sub-national levels in all relevant institutions are better able to develop and deliver evidence-based programmes that prevent and respond to VAWG, including DV/IPV, especially for those groups of women and girls facing intersecting and multiple forms of discrimination, including in other sectors</w:t>
            </w:r>
          </w:p>
        </w:tc>
        <w:tc>
          <w:tcPr>
            <w:tcW w:w="5000" w:type="dxa"/>
          </w:tcPr>
          <w:p>
            <w:pPr/>
            <w:r>
              <w:rPr>
                <w:b/>
                <w:rFonts w:ascii="[FontFamily: Name=Calibri]" w:hAnsi="[FontFamily: Name=Calibri]" w:cs="[FontFamily: Name=Calibri]" w:eastAsia="[FontFamily: Name=Calibri]"/>
                <w:sz w:val="18"/>
                <w:szCs w:val="18"/>
              </w:rPr>
              <w:t xml:space="preserve">Indicator 3.2.3A:  </w:t>
            </w:r>
            <w:r>
              <w:rPr>
                <w:rFonts w:ascii="[FontFamily: Name=Calibri]" w:hAnsi="[FontFamily: Name=Calibri]" w:cs="[FontFamily: Name=Calibri]" w:eastAsia="[FontFamily: Name=Calibri]"/>
                <w:sz w:val="18"/>
                <w:szCs w:val="18"/>
              </w:rPr>
              <w:t>Number of key government officials trained on human rights and gender-equitable norms, attitudes and behaviours towards women and girls, including for those groups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Ministry/agencies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3.2.3B:  </w:t>
            </w:r>
            <w:r>
              <w:rPr>
                <w:rFonts w:ascii="[FontFamily: Name=Calibri]" w:hAnsi="[FontFamily: Name=Calibri]" w:cs="[FontFamily: Name=Calibri]" w:eastAsia="[FontFamily: Name=Calibri]"/>
                <w:sz w:val="18"/>
                <w:szCs w:val="18"/>
              </w:rPr>
              <w:t>Number of institutions that develop strategies, plans and/or programmes to prevent and respond to VAWG, including DV/IPV, including for women and girls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Ministries/agencies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64,484.00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129,484.00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Decision makers in relevant institutions  and key informal decision makers  are better able to advocate for implementation of legislation and policies on ending SGBV and for gender-equitable norms, attitudes and behaviours on women and girls’ rights</w:t>
            </w:r>
          </w:p>
        </w:tc>
        <w:tc>
          <w:tcPr>
            <w:tcW w:w="5000" w:type="dxa"/>
          </w:tcPr>
          <w:p>
            <w:pPr/>
            <w:r>
              <w:rPr>
                <w:b/>
                <w:rFonts w:ascii="[FontFamily: Name=Calibri]" w:hAnsi="[FontFamily: Name=Calibri]" w:cs="[FontFamily: Name=Calibri]" w:eastAsia="[FontFamily: Name=Calibri]"/>
                <w:sz w:val="18"/>
                <w:szCs w:val="18"/>
              </w:rPr>
              <w:t xml:space="preserve">Indicator 3.2.4A:  </w:t>
            </w:r>
            <w:r>
              <w:rPr>
                <w:rFonts w:ascii="[FontFamily: Name=Calibri]" w:hAnsi="[FontFamily: Name=Calibri]" w:cs="[FontFamily: Name=Calibri]" w:eastAsia="[FontFamily: Name=Calibri]"/>
                <w:sz w:val="18"/>
                <w:szCs w:val="18"/>
              </w:rPr>
              <w:t>Number of news outlets that develop standards on ethical and gender-sensitive reporting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media sources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3.2.4B:  </w:t>
            </w:r>
            <w:r>
              <w:rPr>
                <w:rFonts w:ascii="[FontFamily: Name=Calibri]" w:hAnsi="[FontFamily: Name=Calibri]" w:cs="[FontFamily: Name=Calibri]" w:eastAsia="[FontFamily: Name=Calibri]"/>
                <w:sz w:val="18"/>
                <w:szCs w:val="18"/>
              </w:rPr>
              <w:t>Number of people reached by campaigns challenging harmful social norms and gender stereotyping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media, communication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government authorities and women’s rights organisations at national and sub-national levels have better knowledge and capacity to deliver quality and coordinated essential services, including SRH services and access to justice, to women and girls’ survivors of violence, especially those facing multiple and intersecting forms of discrimination</w:t>
            </w:r>
          </w:p>
        </w:tc>
        <w:tc>
          <w:tcPr>
            <w:tcW w:w="5000" w:type="dxa"/>
          </w:tcPr>
          <w:p>
            <w:pPr/>
            <w:r>
              <w:rPr>
                <w:b/>
                <w:rFonts w:ascii="[FontFamily: Name=Calibri]" w:hAnsi="[FontFamily: Name=Calibri]" w:cs="[FontFamily: Name=Calibri]" w:eastAsia="[FontFamily: Name=Calibri]"/>
                <w:sz w:val="18"/>
                <w:szCs w:val="18"/>
              </w:rPr>
              <w:t xml:space="preserve">Indicator 3.2.5A:  </w:t>
            </w:r>
            <w:r>
              <w:rPr>
                <w:rFonts w:ascii="[FontFamily: Name=Calibri]" w:hAnsi="[FontFamily: Name=Calibri]" w:cs="[FontFamily: Name=Calibri]" w:eastAsia="[FontFamily: Name=Calibri]"/>
                <w:sz w:val="18"/>
                <w:szCs w:val="18"/>
              </w:rPr>
              <w:t>National guidelines or protocols that have been developed and/or strengthened in line with the guidance and tools for essential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Expert and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3.2.5B:  </w:t>
            </w:r>
            <w:r>
              <w:rPr>
                <w:rFonts w:ascii="[FontFamily: Name=Calibri]" w:hAnsi="[FontFamily: Name=Calibri]" w:cs="[FontFamily: Name=Calibri]" w:eastAsia="[FontFamily: Name=Calibri]"/>
                <w:sz w:val="18"/>
                <w:szCs w:val="18"/>
              </w:rPr>
              <w:t>Number of government service providers who have increased knowledge and capacities to deliver quality and coordinated essential services to women and girls’ survivors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172,850.00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262,850.00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and relevant CSOs,  have increased opportunities and support to share knowledge, network, partner and jointly advocate for GEWE and ending SGBV, more specifically, with relevant stakeholders at sub-national, national, regional and global levels</w:t>
            </w:r>
          </w:p>
        </w:tc>
        <w:tc>
          <w:tcPr>
            <w:tcW w:w="5000" w:type="dxa"/>
          </w:tcPr>
          <w:p>
            <w:pPr/>
            <w:r>
              <w:rPr>
                <w:b/>
                <w:rFonts w:ascii="[FontFamily: Name=Calibri]" w:hAnsi="[FontFamily: Name=Calibri]" w:cs="[FontFamily: Name=Calibri]" w:eastAsia="[FontFamily: Name=Calibri]"/>
                <w:sz w:val="18"/>
                <w:szCs w:val="18"/>
              </w:rPr>
              <w:t xml:space="preserve">Indicator 3.2.6A:  </w:t>
            </w:r>
            <w:r>
              <w:rPr>
                <w:rFonts w:ascii="[FontFamily: Name=Calibri]" w:hAnsi="[FontFamily: Name=Calibri]" w:cs="[FontFamily: Name=Calibri]" w:eastAsia="[FontFamily: Name=Calibri]"/>
                <w:sz w:val="18"/>
                <w:szCs w:val="18"/>
              </w:rPr>
              <w:t>Number of women's rights groups, networks and relevant CSOs with strengthened capacities to network, partner and jointly advocate for progress on ending SGBV at local, national, regional and global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Experts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3.2.6B:  </w:t>
            </w:r>
            <w:r>
              <w:rPr>
                <w:rFonts w:ascii="[FontFamily: Name=Calibri]" w:hAnsi="[FontFamily: Name=Calibri]" w:cs="[FontFamily: Name=Calibri]" w:eastAsia="[FontFamily: Name=Calibri]"/>
                <w:sz w:val="18"/>
                <w:szCs w:val="18"/>
              </w:rPr>
              <w:t>Number of supported women's right groups and relevant CSOs using the appropriate accountability mechanisms for advocacy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CSO/Experts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3.2.6C:  </w:t>
            </w:r>
            <w:r>
              <w:rPr>
                <w:rFonts w:ascii="[FontFamily: Name=Calibri]" w:hAnsi="[FontFamily: Name=Calibri]" w:cs="[FontFamily: Name=Calibri]" w:eastAsia="[FontFamily: Name=Calibri]"/>
                <w:sz w:val="18"/>
                <w:szCs w:val="18"/>
              </w:rPr>
              <w:t>Number of women’s organizations with increased capacities to respond to and mitigate the pandemic, fight against COVID-19 related gender-based violence, racism, xenophobia, stigma, and other forms of discrimination, prevent and remedy human rights abuses, and ensure longer-term recovery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lists of training participants, reports of grantees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204,900.00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11,206.00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186,206.00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11,206.00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391,106.00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and financial support provided for implementation of Spotlight Initiative</w:t>
            </w:r>
          </w:p>
        </w:tc>
        <w:tc>
          <w:tcPr>
            <w:tcW w:w="5000" w:type="dxa"/>
          </w:tcPr>
          <w:p>
            <w:pPr/>
            <w:r>
              <w:rPr>
                <w:b/>
                <w:rFonts w:ascii="[FontFamily: Name=Calibri]" w:hAnsi="[FontFamily: Name=Calibri]" w:cs="[FontFamily: Name=Calibri]" w:eastAsia="[FontFamily: Name=Calibri]"/>
                <w:sz w:val="18"/>
                <w:szCs w:val="18"/>
              </w:rPr>
              <w:t xml:space="preserve">Indicator 3.2.7A:  </w:t>
            </w:r>
            <w:r>
              <w:rPr>
                <w:rFonts w:ascii="[FontFamily: Name=Calibri]" w:hAnsi="[FontFamily: Name=Calibri]" w:cs="[FontFamily: Name=Calibri]" w:eastAsia="[FontFamily: Name=Calibri]"/>
                <w:sz w:val="18"/>
                <w:szCs w:val="18"/>
              </w:rPr>
              <w:t>Timely and high quality technical and financial support to programme implementation provided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financial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48,549.00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279,729.00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38,365.00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48,549.00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318,094.00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583,996.00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641,824.00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819,398.00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802,017.00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951,376.00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3,798,611.00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48,549.00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827,463.00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39,029.00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578,913.00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87,578.00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1,406,376.00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583,996.00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641,824.00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819,398.00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48,549.00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1,629,480.00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39,029.00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1,530,289.00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97,578.00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5,204,987.00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institutions at all levels are more accountable and inclusive ensuring justice, human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equality and sustainable peace for all</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2: By 2022, institutions at all levels are more accountable and inclusive ensuring justice, human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equality and sustainable peace for all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national institutions are implementing international obligations and national commitments on gender equality and women’s empowerment in policy and budgeting processes, and are accountable for results, including through the coordination mandate of the country office.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 public platforms organized where Government reports on progress made by the Government on GEWE commitments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Meetings on Gender Equality Strategy,  WPS, and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Meetings Gender Equality Strategy, WPS,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Government hour in Parliament on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Percentage of activities  in the National Action Plan on Gender Equality reported as 'in progress'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NAP on GES is in the process of approval by the end of 2021, therefore the rate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Labour and Social Develoment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Number of local governments and ministries who have introduced programme budget with allocations for gender budgets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Ministry and 1 LSG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Ministry and 2 LSGs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Ministry and 3 LSGs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Ministries and 2 LSGs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Ministries and 3 LSGs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Ministry of Labour and Social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approved budgets of ministries and LSGs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Line ministries and local governments have the requisite knowledge and tools to integrate gender equality and women’s empowerment into sectorial policies and budgeting processes at national and local levels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senior management and decision-makers of state institutions reporting improved abilities on inclusive decision making and gender-responsive policies and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gender-responsive action plans developed through inclusive decision-making and consultations and endorsed by local self-governments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action plans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action plans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action plans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action plans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Action plans and local self-government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273,305.00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273,554.00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364,250.00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1,284,109.00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organizations, gender equality activists and media institutions, including those representing groups facing intersecting forms of discrimination, have necessary capacity for evidence-based advocacy and gender analysis, to inform planning and budgeting and to hold the state accountable</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representatives of civil society organizations, including other groups facing intersecting forms of discrimination, gender equality activists and representatives of media institutions equipped with increased knowledge to effectively contribute to engendered national reform, planning processes and de-stigmatization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people is not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women and 5 men with HIV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Over years 2015-2017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and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288,411.00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21,500.00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354,641.00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153,612.00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246,485.00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118,500.00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1,293,149.00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396,411.00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627,946.00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427,166.00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610,735.00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280,500.00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2,577,258.00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396,411.00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627,946.00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427,166.00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610,735.00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280,500.00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2,577,258.00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73d1c1acaf614a7b" Type="http://schemas.openxmlformats.org/officeDocument/2006/relationships/styles" Target="/word/styles.xml"/><Relationship Id="Ra3c9ea266ab64191" Type="http://schemas.openxmlformats.org/officeDocument/2006/relationships/settings" Target="/word/settings.xml"/><Relationship Id="R15e737fe1c164847" Type="http://schemas.openxmlformats.org/officeDocument/2006/relationships/footer" Target="/word/footer3.xml"/><Relationship Id="Rffd3c158265442d7" Type="http://schemas.openxmlformats.org/officeDocument/2006/relationships/footer" Target="/word/footer1.xml"/><Relationship Id="rId3" Type="http://schemas.openxmlformats.org/officeDocument/2006/relationships/customXml" Target="../customXml/item3.xml"/><Relationship Id="R9b2d31c0ecd84926" Type="http://schemas.openxmlformats.org/officeDocument/2006/relationships/numbering" Target="/word/numbering.xml"/><Relationship Id="rId2" Type="http://schemas.openxmlformats.org/officeDocument/2006/relationships/customXml" Target="../customXml/item2.xml"/><Relationship Id="rId1" Type="http://schemas.openxmlformats.org/officeDocument/2006/relationships/customXml" Target="../customXml/item1.xml"/><Relationship Id="Rdaa35db31deb411b" Type="http://schemas.openxmlformats.org/officeDocument/2006/relationships/image" Target="/word/media/9a76dc73-ab9a-4a68-b900-22b11d0cb17c.jpeg"/><Relationship Id="Rdc8bc01dd8864e2d" Type="http://schemas.openxmlformats.org/officeDocument/2006/relationships/image" Target="/word/media/bd795abf-335c-4deb-9d3f-467fd40b0095.jpeg"/><Relationship Id="R8cb9d84760ec416c" Type="http://schemas.openxmlformats.org/officeDocument/2006/relationships/footer" Target="/word/foot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362B4025-99E3-4D8B-96FB-3FC8E11A3643}"/>
</file>

<file path=customXml/itemProps2.xml><?xml version="1.0" encoding="utf-8"?>
<ds:datastoreItem xmlns:ds="http://schemas.openxmlformats.org/officeDocument/2006/customXml" ds:itemID="{8D99CDF2-8C5A-4ACF-8F7A-F5E362B8155E}"/>
</file>

<file path=customXml/itemProps3.xml><?xml version="1.0" encoding="utf-8"?>
<ds:datastoreItem xmlns:ds="http://schemas.openxmlformats.org/officeDocument/2006/customXml" ds:itemID="{26738155-D5E7-4DB3-BAEA-EB1AAB96138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