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4617d0fdb9264e20"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b17906a43cdf463b"/>
      <w:footerReference w:type="even" r:id="R881a2dee35724875"/>
      <w:footerReference w:type="first" r:id="R4aa4bbb86ccc4bb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523935bcda400d"/>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9507d268ab4c0a"/>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2019-2023</w:t>
      </w:r>
    </w:p>
    <w:p>
      <w:pPr>
        <w:jc w:val="center"/>
      </w:pPr>
      <w:r>
        <w:rPr>
          <w:b/>
          <w:caps/>
          <w:rFonts w:ascii="[FontFamily: Name=Calibri]" w:hAnsi="[FontFamily: Name=Calibri]" w:cs="[FontFamily: Name=Calibri]" w:eastAsia="[FontFamily: Name=Calibri]"/>
          <w:sz w:val="32"/>
          <w:szCs w:val="32"/>
          <w:color w:val="009CDB"/>
        </w:rPr>
        <w:t>UN WOMEN Cambodia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  Accountability and Participation; Outcome 2: Expanding Economic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RGC resources, coordinates and transparently monitors implementation of international commitments to GE&amp;WE, in consultation with rights holders including Young women and LGBTIQ persons.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selected laws and policies that have been adopted, amended and implemented to comply with international norms and standards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Refers to compliance with recommendations of CEDAW and commitments under Beijing PfA, SDGs. (DV, National Programme for Promotion of Women Leadership in civil service, labour migration policy, sectoral policy-MOE)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CCO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key government ministries able to report annually on gender budget allocations.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Ministries/institutions (MOE, MCS, MOEYS, NCDDS, MOWA) have gender statement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CNCW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Number of new national gender indicators adopted and monitored in line with SDG5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new indicators: Gender-adjusted wage gap;  Unpaid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Cambodian SDG Indicator Framework; Cambodia Socio-Economic Survey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Young women and marginalised women, as well as LGBTIQ persons, have the feminist transformative leadership capacity, networks, and space to challenges negative social gender norms and to hold duty bearers accountable on GE&amp;WE commitments, including the implementation of CEDAW COB.</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Percentage of Youth Leadership Academy (YLA) participants reported to integrate feminist leadership principles into their daily life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Youth Leadership Academy Group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6.1.3B:  </w:t>
            </w:r>
            <w:r>
              <w:rPr>
                <w:rFonts w:ascii="[FontFamily: Name=Calibri]" w:hAnsi="[FontFamily: Name=Calibri]" w:cs="[FontFamily: Name=Calibri]" w:eastAsia="[FontFamily: Name=Calibri]"/>
                <w:sz w:val="18"/>
                <w:szCs w:val="18"/>
              </w:rPr>
              <w:t>Percentage of audiences of social media campaign supported by UNW  can identify at least two negative social and gender norms discriminate against women, LBT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Online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Needs 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6.1.3C:  </w:t>
            </w:r>
            <w:r>
              <w:rPr>
                <w:rFonts w:ascii="[FontFamily: Name=Calibri]" w:hAnsi="[FontFamily: Name=Calibri]" w:cs="[FontFamily: Name=Calibri]" w:eastAsia="[FontFamily: Name=Calibri]"/>
                <w:sz w:val="18"/>
                <w:szCs w:val="18"/>
              </w:rPr>
              <w:t>Number of inter-generational dialogues conducted through CCO's support to build understanding of women's issues across generations and strengthen the inter-general coalition.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6.1.3D:  </w:t>
            </w:r>
            <w:r>
              <w:rPr>
                <w:rFonts w:ascii="[FontFamily: Name=Calibri]" w:hAnsi="[FontFamily: Name=Calibri]" w:cs="[FontFamily: Name=Calibri]" w:eastAsia="[FontFamily: Name=Calibri]"/>
                <w:sz w:val="18"/>
                <w:szCs w:val="18"/>
              </w:rPr>
              <w:t>Inactivate in 2022: Number of action learning of YLA participants conducted to address negative social and gender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6.1.3E:  </w:t>
            </w:r>
            <w:r>
              <w:rPr>
                <w:rFonts w:ascii="[FontFamily: Name=Calibri]" w:hAnsi="[FontFamily: Name=Calibri]" w:cs="[FontFamily: Name=Calibri]" w:eastAsia="[FontFamily: Name=Calibri]"/>
                <w:sz w:val="18"/>
                <w:szCs w:val="18"/>
              </w:rPr>
              <w:t>Percentage of CNCW members implementing  CEDAW Concluding Observations Action Plans through UN Women support to CNCW.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CNCW COB Action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156,655.00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161,069.00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160,462.00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573,186.00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436,300.00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Inactivated in 2021: Output 6.1.2  Strengthened capacity of key government bodies, including Ministries and the Judiciary, to implement   the CEDAW, CSW, Beijing PFA and SDGs</w:t>
            </w:r>
          </w:p>
        </w:tc>
        <w:tc>
          <w:tcPr>
            <w:tcW w:w="5000" w:type="dxa"/>
          </w:tcPr>
          <w:p>
            <w:pPr/>
            <w:r>
              <w:rPr>
                <w:b/>
                <w:rFonts w:ascii="[FontFamily: Name=Calibri]" w:hAnsi="[FontFamily: Name=Calibri]" w:cs="[FontFamily: Name=Calibri]" w:eastAsia="[FontFamily: Name=Calibri]"/>
                <w:sz w:val="18"/>
                <w:szCs w:val="18"/>
              </w:rPr>
              <w:t xml:space="preserve">Indicator 6.1.4A:  </w:t>
            </w:r>
            <w:r>
              <w:rPr>
                <w:rFonts w:ascii="[FontFamily: Name=Calibri]" w:hAnsi="[FontFamily: Name=Calibri]" w:cs="[FontFamily: Name=Calibri]" w:eastAsia="[FontFamily: Name=Calibri]"/>
                <w:sz w:val="18"/>
                <w:szCs w:val="18"/>
              </w:rPr>
              <w:t>Inactivated in 2021: Indicator 1.1.1a: Number of dialogues with government women leaders conducted to advocate for gender responsive budgeting and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CCO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6.1.4B:  </w:t>
            </w:r>
            <w:r>
              <w:rPr>
                <w:rFonts w:ascii="[FontFamily: Name=Calibri]" w:hAnsi="[FontFamily: Name=Calibri]" w:cs="[FontFamily: Name=Calibri]" w:eastAsia="[FontFamily: Name=Calibri]"/>
                <w:sz w:val="18"/>
                <w:szCs w:val="18"/>
              </w:rPr>
              <w:t>Inactivated in 2021: Indicator 1.1.1b: Number of action plan for implementation of new CEDAW Concluding Observations through UN Women support to CNCW.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CNCW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CCO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6.1.4C:  </w:t>
            </w:r>
            <w:r>
              <w:rPr>
                <w:rFonts w:ascii="[FontFamily: Name=Calibri]" w:hAnsi="[FontFamily: Name=Calibri]" w:cs="[FontFamily: Name=Calibri]" w:eastAsia="[FontFamily: Name=Calibri]"/>
                <w:sz w:val="18"/>
                <w:szCs w:val="18"/>
              </w:rPr>
              <w:t>In activated in 2021: Indicator 1.1.1.c: Percentage of trainees from key government institutions demonstrated increased understanding on the concepts of GRB and gender statistics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CCO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101,931.00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101,931.00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156,655.00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160,462.00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675,117.00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436,300.00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156,655.00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160,462.00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675,117.00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436,300.00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3:  Sustainable Living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4: National and sub-national responses to climate change and Disaster Risk Reduction incorporate and address the priorities and needs of all women in Cambodia.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climate change/DRR related sectoral policies and action plans which have enhanced responsiveness to gender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is set based on the mapping report prepared under the EmPower project, according to which at least 8 national climate change/DRR/energy policies already include, to some extent, gender and human rights considerations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evaluation reports and national level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Number of assessments or strategic evaluations use gendered evidence and data on climate and disaster risks and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national assessments on gender equality, climate vulnerability and disaster risks, national gender risk profiles, reports on mainstreaming of gender equality into national climate change and DRR actions will be prepared.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Refer to the chapter on Gender and Climate And DRR in the Cambodia Gender Assessment 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Cambodia Gender Assessment 2019, Government assessment reports and evaluations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Number of capacity building events on gender equality and women’s rights in climate change and DRR that target officials, decision makers and women leaders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Capacity building and coaching/mentoring on gender and women rights in climate change actions and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Currently existing capacity building programmes for officials and decision makers do not focus on the intersect of climate change, DRR and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programmes, curricula and modules; and post training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RGC and key stakeholders have capacity to generate, analyse and use sex, age and diversity disaggregated data to inform disaster and climate change risk analysis and actions.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government ministries/committees (MOE/NCSD, MOWA, MRD, MAFF, NCSDD-s and NCDM) that apply gender analysis and SADDD to climate and disaster risk profiling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national documents  (report, training manual) are produced using information on gender statistic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Percentage  of government official trained report having increased knowledge on gender statistic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Post-training evaluation and participants' reflection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35,956.00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110,432.00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47,912.00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367,072.00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climate change and DRR Regulatory and policy frameworks and climate change financing fulfil and protect human rights and gender equality commitments.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national policy, action plan, guideline, report and program related to CC/DRR incorporates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on support to key government institutions (MoE/NCSD, NCDM, MAFF, MRD) when project is being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Percentage of government officials, women leaders trained report increased knowledge, skills and leadership and apply them in their work to mainstream gender, human rights into climate change and DRR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Post-activity survey and reflection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program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280,331.00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marginalised groups have capacity to meaningfully participate in, influence and lead climate change and DRR decision-making processes.</w:t>
            </w:r>
          </w:p>
        </w:tc>
        <w:tc>
          <w:tcPr>
            <w:tcW w:w="5000" w:type="dxa"/>
          </w:tcPr>
          <w:p>
            <w:pP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Number of joint action/initiative of civil society involved in the project which contribute to  gender integration in climate change and DRR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consultation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4.1.3D:  </w:t>
            </w:r>
            <w:r>
              <w:rPr>
                <w:rFonts w:ascii="[FontFamily: Name=Calibri]" w:hAnsi="[FontFamily: Name=Calibri]" w:cs="[FontFamily: Name=Calibri]" w:eastAsia="[FontFamily: Name=Calibri]"/>
                <w:sz w:val="18"/>
                <w:szCs w:val="18"/>
              </w:rPr>
              <w:t>Number of advocacy events conducted by grassroots HIV affected women's groups to raise livelihood issue and health care  concerns the resulted from COVID 19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 consultation March 2018 (Baseline) and 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4.1.3E:  </w:t>
            </w:r>
            <w:r>
              <w:rPr>
                <w:rFonts w:ascii="[FontFamily: Name=Calibri]" w:hAnsi="[FontFamily: Name=Calibri]" w:cs="[FontFamily: Name=Calibri]" w:eastAsia="[FontFamily: Name=Calibri]"/>
                <w:sz w:val="18"/>
                <w:szCs w:val="18"/>
              </w:rPr>
              <w:t>Percentage of Women report haveing increased knowledge and skill on leadership and gender and climate change which enable them to engage in climate change dialouge.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CCO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108,171.00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106,326.00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330,497.00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11,956.00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35,956.00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195,432.00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47,912.00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977,900.00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11,956.00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35,956.00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195,432.00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47,912.00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977,900.00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Expanding Social Opportunities; Outcome 2: Expanding Economic Opportunities;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  Accountability and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Cambodia has an enabling environment to better prevent, respond and prosecute all forms of gender-based violence [aligns to UN Women SP 2018-2021 Output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Laws, policies and protocols revised and/or adopted which support the prosecution and coordinated response around GBV which align with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(1) Revised DV Law tabled by Government for consideration; and (2) its Explanatory Notes with clear definitions for sexual harassment and gender discrimination; (3) VAW Mediation Guidelines; (4) VAW MSS; (5) VAW Bench Book; (6) 3rd Labour Migration Policy; (7) Guideline on Dispute Resolution for Migrant Workers; and (8) Employment Contract for Migrants.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6:  DV Law; Explanatory Notes for the DV Law; Draft VAW Bench Book; Draft VAW Mediation Guideline; and Draft VAW MSS; Labour Migration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MOV: Report of Cambodia National Council for Women (CNCW) and MOWA, and TWGG-GBV.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Cambodia National Council for Women (CNCW) and MOWA, and TWGG-GBV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Percentage increase of budget allocation to Annual Operational Plan (AOP) for the 3rd NAPVAW implementation [UN Women SP 2018-2021 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 (USD 5.5 Million)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Operational Plan (AOP) for the 3rd NAPVAW 2019-2023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USD 3.7 Million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Annual Operational Plan (AOP) for the 2nd NAPVAW 2017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TWGG-GBV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RGC has improved capacity to adopt, implement and monitor GBV legislation, policies and standards.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The 3rd NAPVAW implementation monitored and reported through the Technical Working Group on Gender-GBV (TWGG-GBV).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 of 3rd NAPVAW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MOWA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RGC Line Ministries contributed to developing, reviewing and adopting laws, policies and strategies addressing GBV through consultation with gender and LGBTIQ advocates.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Relevant RGC Line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428,318.00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106,079.00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938,884.00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Inactivate in 2021-Young women and men, including LGBTIQ youth, in selected communities, schools and other settings understand and challenge harmful gender norms, including GBV and harassment in public spaces.</w:t>
            </w:r>
          </w:p>
        </w:tc>
        <w:tc>
          <w:tcPr>
            <w:tcW w:w="5000" w:type="dxa"/>
          </w:tcPr>
          <w:p>
            <w:pP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Inactivate in 2021-Number of participant (disaggregated by sex) engaged in public awareness campaign focused on GBV against women migrant workers, using women’s voices and stories.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16 days campaign 's activities organized across the country directly involved over 5,000 people, 174,000 people were reached through traditional and social media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Legal actors, labor actors  and CSO staff are able to advocate for and implement women-centred justice</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Percentage of Feminist Jurisprudence initiative   participants report actions taken to integrate Feminist Jurisprudence principles including CEDAW into their practice (disaggregated by sex and role).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by pre-test and post-test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10 % increase over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and LGBTIQ persons who experience violence are empowered to use available, accessible and quality essential services and recover from violence. [UN Women SP 2018-2021 Output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Proportion of women age 15-49 who have ever experienced physical and sexual violence who seek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age 15-49 who have ever experienced physical and sexual violence who seek help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age 15-49 who have ever experienced physical and sexual violence who seek help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age 15-49 who have ever experienced physical and sexual violence who seek help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Cambodia DHS of National Institute of Statistic, Ministry of Planning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GBV service providers (Health, Police, Justice, and Social Services) have capacity to deliver inclusive, quality and accessible essential services to survivors, including marginalised women and LGBTIQ persons.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Percentage of trained GBV service providers (Health, Police, Justice, and Social Services) with increased knowledge to deliver inclusive quality and accessible essential services to survivors, including marginalised women and LGBTIQ.</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Pre-test and post-test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 increase over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Percentage of trained relevant authority, and police with strengthened capacity to deliver justice for survivors of GBV in the formal and informal justice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Pre-test and post-test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 increase over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target group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(Inactivate) Percentage of GBV survivors in target areas with increased knowledge of referral procedures and available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to be determined under DFAT-ACCESS programme in late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evaluation of 2nd NAPVAW, MoWA.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116,272.00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799,725.00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Ministry of Women's Affairs (MOWA), Ministry of Labour and Vocational Training (MOLVT) and relevant line ministries effectively supports referral and coordination networks at national and sub-national level.</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national and sub-national working groups on multi-sectoral service response to GBV established and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TWGG-GBV at national level; Sub-national working groups at Provincial level and in 2 districts in Kampong Speu and Preah Sihanouk Province.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(Inactivate) Percentage of sub-national working group members on multi-sectoral service response to GBV reporting an increased understanding on service coordination, referral, case management and documenting VAW administrative data. [UN Women SP 2018-2021 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to be conducted under DFAT-ACCESS programme in late 2020 delayed due to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Assessment Report of sub-national working group on multi-sectoral service response to GBV.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(Inactivate) Increased percentage of GBV cases managed multi-sectorally according to Case Management Guidelines [UN Women SP 2018-2021 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to be collected by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3.2.2D:  </w:t>
            </w:r>
            <w:r>
              <w:rPr>
                <w:rFonts w:ascii="[FontFamily: Name=Calibri]" w:hAnsi="[FontFamily: Name=Calibri]" w:cs="[FontFamily: Name=Calibri]" w:eastAsia="[FontFamily: Name=Calibri]"/>
                <w:sz w:val="18"/>
                <w:szCs w:val="18"/>
              </w:rPr>
              <w:t>Percentage of GBV group members with capacity to manage cases multi-sectorally according to minimum service standard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Measuring by monitoring  checklists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Measuring by monitoring checklists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127,849.00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898,149.00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(health, social, and criminal justice), community based women peer networks and young gender advocates have capacity to implement and monitor policies and programmes in order to prevent and respond to GBV against women migrant workers through  evidence-based practice.</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Indicator 3.2.3A: Spotlight-Number of women migrants who access support services (Health, Police, Justice, and Social Services) for survivors of violence and trafficking. [UN Women SP 2018-2021 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is zero under Safe and Fair project. Data to be collected in Safe and Fair’s target provinces only (Phnom Penh-Helplines CHC, Phnom Penh-Helpline MOWA-started in 2021, Siem Reap, Preah Sihanouk and Kampong Speu-CARE)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ILO Safe and Fair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3.2.3B:  </w:t>
            </w:r>
            <w:r>
              <w:rPr>
                <w:rFonts w:ascii="[FontFamily: Name=Calibri]" w:hAnsi="[FontFamily: Name=Calibri]" w:cs="[FontFamily: Name=Calibri]" w:eastAsia="[FontFamily: Name=Calibri]"/>
                <w:sz w:val="18"/>
                <w:szCs w:val="18"/>
              </w:rPr>
              <w:t>Spotlight-Number of laws and policies adopted or amended with UN Women inputs on rights-based and survivor-centred approaches.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MoWA Cambodia is preparing to conduct a Domestic Law review.  SAF will provide technical support on the roadmap development for the reviewing process. Yet, there is no expectation that it will be completed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3.2.3C:  </w:t>
            </w:r>
            <w:r>
              <w:rPr>
                <w:rFonts w:ascii="[FontFamily: Name=Calibri]" w:hAnsi="[FontFamily: Name=Calibri]" w:cs="[FontFamily: Name=Calibri]" w:eastAsia="[FontFamily: Name=Calibri]"/>
                <w:sz w:val="18"/>
                <w:szCs w:val="18"/>
              </w:rPr>
              <w:t>Spotlight-Number of countries with dedicated national strategies/action plans on eliminating VAW, which include women migrants.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expected to be one of the countries with strategies/plans of action on eliminating VAW.  The 3rd NAPVAW' launch happened in January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3.2.3D:  </w:t>
            </w:r>
            <w:r>
              <w:rPr>
                <w:rFonts w:ascii="[FontFamily: Name=Calibri]" w:hAnsi="[FontFamily: Name=Calibri]" w:cs="[FontFamily: Name=Calibri]" w:eastAsia="[FontFamily: Name=Calibri]"/>
                <w:sz w:val="18"/>
                <w:szCs w:val="18"/>
              </w:rPr>
              <w:t>Spotlight-Number of information systems strengthened for women migrants who access support services (health, welfare, police, justice) for survivors of violence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expects to have two information systems for the whole life cycle of Safe and Fair Programme. 1 will work with TWG-GBV in Bosedth on their intake form, and the second one with MoWA helpline.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3.2.3E:  </w:t>
            </w:r>
            <w:r>
              <w:rPr>
                <w:rFonts w:ascii="[FontFamily: Name=Calibri]" w:hAnsi="[FontFamily: Name=Calibri]" w:cs="[FontFamily: Name=Calibri]" w:eastAsia="[FontFamily: Name=Calibri]"/>
                <w:sz w:val="18"/>
                <w:szCs w:val="18"/>
              </w:rPr>
              <w:t>Spotlight-Number of referral mechanisms for follow-up services for women migrants by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expects to have two referral mechanisms. one with technical support to TWG-GBV at Borsedth and the second one through the direct support to CHC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3.2.3F:  </w:t>
            </w:r>
            <w:r>
              <w:rPr>
                <w:rFonts w:ascii="[FontFamily: Name=Calibri]" w:hAnsi="[FontFamily: Name=Calibri]" w:cs="[FontFamily: Name=Calibri]" w:eastAsia="[FontFamily: Name=Calibri]"/>
                <w:sz w:val="18"/>
                <w:szCs w:val="18"/>
              </w:rPr>
              <w:t>Spotlight-Number of users of community-based and women-led networks supported by UN Women active in preventing VAW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3.2.3G:  </w:t>
            </w:r>
            <w:r>
              <w:rPr>
                <w:rFonts w:ascii="[FontFamily: Name=Calibri]" w:hAnsi="[FontFamily: Name=Calibri]" w:cs="[FontFamily: Name=Calibri]" w:eastAsia="[FontFamily: Name=Calibri]"/>
                <w:sz w:val="18"/>
                <w:szCs w:val="18"/>
              </w:rPr>
              <w:t>Spotlight-Number of women migrants who are provided with information by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1500 for the whole programme life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3.2.3H:  </w:t>
            </w:r>
            <w:r>
              <w:rPr>
                <w:rFonts w:ascii="[FontFamily: Name=Calibri]" w:hAnsi="[FontFamily: Name=Calibri]" w:cs="[FontFamily: Name=Calibri]" w:eastAsia="[FontFamily: Name=Calibri]"/>
                <w:sz w:val="18"/>
                <w:szCs w:val="18"/>
              </w:rPr>
              <w:t>Spotlight-Number of women migrants who receive assistance from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3.2.3I:  </w:t>
            </w:r>
            <w:r>
              <w:rPr>
                <w:rFonts w:ascii="[FontFamily: Name=Calibri]" w:hAnsi="[FontFamily: Name=Calibri]" w:cs="[FontFamily: Name=Calibri]" w:eastAsia="[FontFamily: Name=Calibri]"/>
                <w:sz w:val="18"/>
                <w:szCs w:val="18"/>
              </w:rPr>
              <w:t>Spotlight- of front-line service providers trained to handle women’s protection/trafficking issues in a coordinated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required to have at least 60 service providers trained.  SAF will conduct training/workshops with 98 front line service providers from government counterpart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required to have at least 60 service providers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3.2.3J:  </w:t>
            </w:r>
            <w:r>
              <w:rPr>
                <w:rFonts w:ascii="[FontFamily: Name=Calibri]" w:hAnsi="[FontFamily: Name=Calibri]" w:cs="[FontFamily: Name=Calibri]" w:eastAsia="[FontFamily: Name=Calibri]"/>
                <w:sz w:val="18"/>
                <w:szCs w:val="18"/>
              </w:rPr>
              <w:t>Spotlight-Number of joint task forces (linking, for example, criminal justice, labour, immigration and VAW) established on women’s protection/trafficking.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required to have established at least one joint task force by 2020.  Cambodia has established both national and sub-national mechanisms addressing and responding to VAW and migration for example CTIP and TWG-GBV. SAF Cambodia continues to support the existing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3.2.3K:  </w:t>
            </w:r>
            <w:r>
              <w:rPr>
                <w:rFonts w:ascii="[FontFamily: Name=Calibri]" w:hAnsi="[FontFamily: Name=Calibri]" w:cs="[FontFamily: Name=Calibri]" w:eastAsia="[FontFamily: Name=Calibri]"/>
                <w:sz w:val="18"/>
                <w:szCs w:val="18"/>
              </w:rPr>
              <w:t>Spotlight-Number of research studies and knowledge materials produced focusing on safe and fair labour migration, and violence against migrant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required to produce at least 2 knowledge products per year. The target for the whole programme cycle is 10. 2022 report through a photography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3.2.3L:  </w:t>
            </w:r>
            <w:r>
              <w:rPr>
                <w:rFonts w:ascii="[FontFamily: Name=Calibri]" w:hAnsi="[FontFamily: Name=Calibri]" w:cs="[FontFamily: Name=Calibri]" w:eastAsia="[FontFamily: Name=Calibri]"/>
                <w:sz w:val="18"/>
                <w:szCs w:val="18"/>
              </w:rPr>
              <w:t>Spotlight-Number of ASEAN countries collecting data on violence against migrant women (administrative or prevalence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Cambodia is required to be one of the countries collecting data on violence against women migrant workers. After discussion with the EU, SAF regional has changed the indicator 3.2.3D.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3.2.3M:  </w:t>
            </w:r>
            <w:r>
              <w:rPr>
                <w:rFonts w:ascii="[FontFamily: Name=Calibri]" w:hAnsi="[FontFamily: Name=Calibri]" w:cs="[FontFamily: Name=Calibri]" w:eastAsia="[FontFamily: Name=Calibri]"/>
                <w:sz w:val="18"/>
                <w:szCs w:val="18"/>
              </w:rPr>
              <w:t>Spotlight-Number of persons reached through campaigns to address VAW, trafficking and gender based discrimination of women migrant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target has been set for this indicator. But Safe and Fair Cambodia will try to reach 20000 people, including men and WMW family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353,546.00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411,036.00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337,725.00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342,681.00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1,444,988.00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64,500.00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483,318.00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357,379.00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2,430,184.00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562,124.00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589,608.00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677,725.00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538,405.00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3,142,862.00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64,500.00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1,045,442.00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719,095.00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1,330,225.00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895,784.00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5,573,046.00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660496045e6347c4" Type="http://schemas.openxmlformats.org/officeDocument/2006/relationships/settings" Target="/word/settings.xml"/><Relationship Id="Rb17906a43cdf463b" Type="http://schemas.openxmlformats.org/officeDocument/2006/relationships/footer" Target="/word/footer1.xml"/><Relationship Id="R10f75cebb1ce4422" Type="http://schemas.openxmlformats.org/officeDocument/2006/relationships/numbering" Target="/word/numbering.xml"/><Relationship Id="R4aa4bbb86ccc4bb2" Type="http://schemas.openxmlformats.org/officeDocument/2006/relationships/footer" Target="/word/footer3.xml"/><Relationship Id="rId2" Type="http://schemas.openxmlformats.org/officeDocument/2006/relationships/customXml" Target="../customXml/item2.xml"/><Relationship Id="R8db804d6c86c4288" Type="http://schemas.openxmlformats.org/officeDocument/2006/relationships/styles" Target="/word/styles.xml"/><Relationship Id="R881a2dee35724875" Type="http://schemas.openxmlformats.org/officeDocument/2006/relationships/footer" Target="/word/footer2.xml"/><Relationship Id="rId1" Type="http://schemas.openxmlformats.org/officeDocument/2006/relationships/customXml" Target="../customXml/item1.xml"/><Relationship Id="R739507d268ab4c0a" Type="http://schemas.openxmlformats.org/officeDocument/2006/relationships/image" Target="/word/media/76b8644a-6319-4526-8598-cbc2ddb8c948.jpeg"/><Relationship Id="R31523935bcda400d" Type="http://schemas.openxmlformats.org/officeDocument/2006/relationships/image" Target="/word/media/c4cfd90b-21fb-42a3-8c12-7967921a8ecc.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3BC163BC-70FB-4D7C-8147-12BB0D17E318}"/>
</file>

<file path=customXml/itemProps2.xml><?xml version="1.0" encoding="utf-8"?>
<ds:datastoreItem xmlns:ds="http://schemas.openxmlformats.org/officeDocument/2006/customXml" ds:itemID="{96E240F6-0DE8-4C89-933B-CFB3F3D119B0}"/>
</file>

<file path=customXml/itemProps3.xml><?xml version="1.0" encoding="utf-8"?>
<ds:datastoreItem xmlns:ds="http://schemas.openxmlformats.org/officeDocument/2006/customXml" ds:itemID="{3AC13641-90E0-4AB8-9E5E-B082F230A4C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