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fcea3a0843f64865"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6ea780890e64b38"/>
      <w:footerReference w:type="even" r:id="Rc1afc40726e940ea"/>
      <w:footerReference w:type="first" r:id="R89e0094e669548e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c554620768437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730d8bca1f44f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Kosovo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more women and girls in Kosovo benefit equally from governance system, in a gender-responsive, free from violence and inclusive society, contributing to decision-making for sustainable socio-economic development and EU integration</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CF 2021 - 2025 Results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1.1 All women and men in Kosovo enjoy more accountable, effective, transparent, and gender-responsive institutions at all levels ensuring access to justice, equality and participation for all (KOS UNSDCF Outcome 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and key stakeholders are able to develop and implement gender responsive OSH policies and actions, with focus on gender-specific patterns of occupational risks and employer-employee awareness of international OSH standards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recommendations and gender responsive social policies adopted in light of OSH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adopted laws with gender responsive provisions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guide book with detailed recommendations from gender review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Kosovo Official Gazzette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advocacy initiatives undertaken by Women's caucus, trade unions, gender activists ( members of the informal "Task Force")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advocacy events organized by the Task Force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gender responsive training toolkits on OSH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modules integrated in the ILO toolkit for Labor Inspectorate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MFLT and Labor inspectors trained on gender responsive implementation of OSH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MFLT and Labor Inspectorate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1.1.1E:  </w:t>
            </w:r>
            <w:r>
              <w:rPr>
                <w:rFonts w:ascii="[FontFamily: Name=Calibri]" w:hAnsi="[FontFamily: Name=Calibri]" w:cs="[FontFamily: Name=Calibri]" w:eastAsia="[FontFamily: Name=Calibri]"/>
                <w:sz w:val="18"/>
                <w:szCs w:val="18"/>
              </w:rPr>
              <w:t>number of members of Economic Council trained on gender equality and gender specific risks at the workplace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MFLT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awareness raising and social dialogue on international OSH standards and women’s socio-economic rights by CSOs generates OSH policy implementation by key stakeholders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advocacy and media outreach on new Labor and OSH legislation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MFLT and official Gazette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entrepreneurs promote decent work and safe and healthy work environments,  with a specific focus on most vulnerable groups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women entrepreneurs trained on OSH standards and with necessary capacities to conduct risk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awareness raising products on women leadership in public and corporate level and adoption of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WEPs official platform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Ministry of Finance, line Ministries and National Gender Equality Machinery have knowledge and evidence to make informed budgetary allocation towards GE in line with national and international commitments</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Number of improved guidelines and instructions issued by Ministry of Finance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MoF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Number of government officials with increased knowledge on programme budgeting,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MoF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1.1.4C:  </w:t>
            </w:r>
            <w:r>
              <w:rPr>
                <w:rFonts w:ascii="[FontFamily: Name=Calibri]" w:hAnsi="[FontFamily: Name=Calibri]" w:cs="[FontFamily: Name=Calibri]" w:eastAsia="[FontFamily: Name=Calibri]"/>
                <w:sz w:val="18"/>
                <w:szCs w:val="18"/>
              </w:rPr>
              <w:t>Number of initiatives taken by NGEM in support of budget users on engendering the budget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Agency for Gender Equality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local governments have the capacity to apply GRB tools in their plans and budget including post recovery of Covid-19</w:t>
            </w:r>
          </w:p>
        </w:tc>
        <w:tc>
          <w:tcPr>
            <w:tcW w:w="5000" w:type="dxa"/>
          </w:tcPr>
          <w:p>
            <w:pPr/>
            <w:r>
              <w:rPr>
                <w:b/>
                <w:rFonts w:ascii="[FontFamily: Name=Calibri]" w:hAnsi="[FontFamily: Name=Calibri]" w:cs="[FontFamily: Name=Calibri]" w:eastAsia="[FontFamily: Name=Calibri]"/>
                <w:sz w:val="18"/>
                <w:szCs w:val="18"/>
              </w:rPr>
              <w:t xml:space="preserve">Indicator 1.1.5A:  </w:t>
            </w:r>
            <w:r>
              <w:rPr>
                <w:rFonts w:ascii="[FontFamily: Name=Calibri]" w:hAnsi="[FontFamily: Name=Calibri]" w:cs="[FontFamily: Name=Calibri]" w:eastAsia="[FontFamily: Name=Calibri]"/>
                <w:sz w:val="18"/>
                <w:szCs w:val="18"/>
              </w:rPr>
              <w:t>Number of initiatives taken by local government to apply GRB in policy and budgetary making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Association of Municipalities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1.1.5B:  </w:t>
            </w:r>
            <w:r>
              <w:rPr>
                <w:rFonts w:ascii="[FontFamily: Name=Calibri]" w:hAnsi="[FontFamily: Name=Calibri]" w:cs="[FontFamily: Name=Calibri]" w:eastAsia="[FontFamily: Name=Calibri]"/>
                <w:sz w:val="18"/>
                <w:szCs w:val="18"/>
              </w:rPr>
              <w:t>Number of officials that at least completed the basic and advanced training on GRB per year in targeted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Association of Municipalities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women, including the disadvantaged, are able to voice their needs and act as agents of change in planning and budgetary processes through media</w:t>
            </w:r>
          </w:p>
        </w:tc>
        <w:tc>
          <w:tcPr>
            <w:tcW w:w="5000" w:type="dxa"/>
          </w:tcPr>
          <w:p>
            <w:pPr/>
            <w:r>
              <w:rPr>
                <w:b/>
                <w:rFonts w:ascii="[FontFamily: Name=Calibri]" w:hAnsi="[FontFamily: Name=Calibri]" w:cs="[FontFamily: Name=Calibri]" w:eastAsia="[FontFamily: Name=Calibri]"/>
                <w:sz w:val="18"/>
                <w:szCs w:val="18"/>
              </w:rPr>
              <w:t xml:space="preserve">Indicator 1.1.6A:  </w:t>
            </w:r>
            <w:r>
              <w:rPr>
                <w:rFonts w:ascii="[FontFamily: Name=Calibri]" w:hAnsi="[FontFamily: Name=Calibri]" w:cs="[FontFamily: Name=Calibri]" w:eastAsia="[FontFamily: Name=Calibri]"/>
                <w:sz w:val="18"/>
                <w:szCs w:val="18"/>
              </w:rPr>
              <w:t>Number of human-interest stories related to GRB published by media professionals trained by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media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1.1.6B:  </w:t>
            </w:r>
            <w:r>
              <w:rPr>
                <w:rFonts w:ascii="[FontFamily: Name=Calibri]" w:hAnsi="[FontFamily: Name=Calibri]" w:cs="[FontFamily: Name=Calibri]" w:eastAsia="[FontFamily: Name=Calibri]"/>
                <w:sz w:val="18"/>
                <w:szCs w:val="18"/>
              </w:rPr>
              <w:t>Number of specific priorities of women from disadvantaged groups are addressed in planning and budgeting processes at the central and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CSO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Police forces becoming more responsive to women and girls subject to violence and domestic violence responding</w:t>
            </w:r>
          </w:p>
        </w:tc>
        <w:tc>
          <w:tcPr>
            <w:tcW w:w="5000" w:type="dxa"/>
          </w:tcPr>
          <w:p>
            <w:pPr/>
            <w:r>
              <w:rPr>
                <w:b/>
                <w:rFonts w:ascii="[FontFamily: Name=Calibri]" w:hAnsi="[FontFamily: Name=Calibri]" w:cs="[FontFamily: Name=Calibri]" w:eastAsia="[FontFamily: Name=Calibri]"/>
                <w:sz w:val="18"/>
                <w:szCs w:val="18"/>
              </w:rPr>
              <w:t xml:space="preserve">Indicator 1.1.8A:  </w:t>
            </w:r>
            <w:r>
              <w:rPr>
                <w:rFonts w:ascii="[FontFamily: Name=Calibri]" w:hAnsi="[FontFamily: Name=Calibri]" w:cs="[FontFamily: Name=Calibri]" w:eastAsia="[FontFamily: Name=Calibri]"/>
                <w:sz w:val="18"/>
                <w:szCs w:val="18"/>
              </w:rPr>
              <w:t>Number of policies and strategies , SOPs that include new guidelines for the police when responding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Police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transposition of the EU Gender Equality acquis results in positive socio-economic development outcomes for women and men, girls and boys in Kosovo</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693,899.00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693,899.00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1.2 All women and men in Kosovo, particularly young people, vulnerable groups, and displaced persons, increasingly achieve gender equality and claim their rights and fulfil civic responsibilities (UNSDCF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CSOs and local and central level Institutions have increased capacities to provide services to women and girls victims of violence in line with the international standards set in Istanbul Convention and CEDAW</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Kosovo CSOs' implementing Projects to advocate for implementation of CEDAW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Contract Agreements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justice system actors referencing Istanbul Convention in court decisions, in cases of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women and girls accessing free legal aid through online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1.2.1D:  </w:t>
            </w:r>
            <w:r>
              <w:rPr>
                <w:rFonts w:ascii="[FontFamily: Name=Calibri]" w:hAnsi="[FontFamily: Name=Calibri]" w:cs="[FontFamily: Name=Calibri]" w:eastAsia="[FontFamily: Name=Calibri]"/>
                <w:sz w:val="18"/>
                <w:szCs w:val="18"/>
              </w:rPr>
              <w:t>Number of shelter staff trained to advocate for survivors’ access to property rights and women’s economic security in line with provisions of CEDAW and Istanbul Convention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1.2.1E:  </w:t>
            </w:r>
            <w:r>
              <w:rPr>
                <w:rFonts w:ascii="[FontFamily: Name=Calibri]" w:hAnsi="[FontFamily: Name=Calibri]" w:cs="[FontFamily: Name=Calibri]" w:eastAsia="[FontFamily: Name=Calibri]"/>
                <w:sz w:val="18"/>
                <w:szCs w:val="18"/>
              </w:rPr>
              <w:t>Number of trained GBV survivors, (including those coming from marginalized groups), on, vocational and entrepreneurship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1.2.1F:  </w:t>
            </w:r>
            <w:r>
              <w:rPr>
                <w:rFonts w:ascii="[FontFamily: Name=Calibri]" w:hAnsi="[FontFamily: Name=Calibri]" w:cs="[FontFamily: Name=Calibri]" w:eastAsia="[FontFamily: Name=Calibri]"/>
                <w:sz w:val="18"/>
                <w:szCs w:val="18"/>
              </w:rPr>
              <w:t>Number of  trained shelter staff on responding to cases of sexual violence, in line with CEDAW and 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236,440.00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236,440.00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from vulnerable groups have improved access to social, economic and health services.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women and girls from most disadvantaged areas have access to free medical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Contractor Agreement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Number of women and girls from marginalized groups are economically empowered through equipment support and capacity 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Agreement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894,979.00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894,979.00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236,440.00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236,440.00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1,131,419.00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1,131,419.00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89e0094e669548e2" Type="http://schemas.openxmlformats.org/officeDocument/2006/relationships/footer" Target="/word/footer3.xml"/><Relationship Id="rId3" Type="http://schemas.openxmlformats.org/officeDocument/2006/relationships/customXml" Target="../customXml/item3.xml"/><Relationship Id="Rbc29e448089e4ae0" Type="http://schemas.openxmlformats.org/officeDocument/2006/relationships/styles" Target="/word/styles.xml"/><Relationship Id="R42339f4bc9ce4d3b" Type="http://schemas.openxmlformats.org/officeDocument/2006/relationships/settings" Target="/word/settings.xml"/><Relationship Id="rId2" Type="http://schemas.openxmlformats.org/officeDocument/2006/relationships/customXml" Target="../customXml/item2.xml"/><Relationship Id="rId1" Type="http://schemas.openxmlformats.org/officeDocument/2006/relationships/customXml" Target="../customXml/item1.xml"/><Relationship Id="R02c554620768437f" Type="http://schemas.openxmlformats.org/officeDocument/2006/relationships/image" Target="/word/media/59546cf0-12bc-4635-a29b-a1ff069ee3f2.jpeg"/><Relationship Id="R66ea780890e64b38" Type="http://schemas.openxmlformats.org/officeDocument/2006/relationships/footer" Target="/word/footer1.xml"/><Relationship Id="Rc1afc40726e940ea" Type="http://schemas.openxmlformats.org/officeDocument/2006/relationships/footer" Target="/word/footer2.xml"/><Relationship Id="R483fbd02e7ed4bee" Type="http://schemas.openxmlformats.org/officeDocument/2006/relationships/numbering" Target="/word/numbering.xml"/><Relationship Id="R5b730d8bca1f44fb" Type="http://schemas.openxmlformats.org/officeDocument/2006/relationships/image" Target="/word/media/a39f51c3-7cd1-4f77-9e02-6392bcd370f4.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8D5E04B4-381E-42FE-8B3A-9BE6B7C73EE9}"/>
</file>

<file path=customXml/itemProps2.xml><?xml version="1.0" encoding="utf-8"?>
<ds:datastoreItem xmlns:ds="http://schemas.openxmlformats.org/officeDocument/2006/customXml" ds:itemID="{67895B9D-8638-4518-8ADE-32645C4F68DE}"/>
</file>

<file path=customXml/itemProps3.xml><?xml version="1.0" encoding="utf-8"?>
<ds:datastoreItem xmlns:ds="http://schemas.openxmlformats.org/officeDocument/2006/customXml" ds:itemID="{3FEB2C8D-EDC8-4BD5-8B69-C23852C7815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