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1d39bc2d21264bce"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1a5504995b14f58"/>
      <w:footerReference w:type="even" r:id="R68944bd3a05741c7"/>
      <w:footerReference w:type="first" r:id="R2820971681074273"/>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daed6984ce44083"/>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fe3dc77e9d34636"/>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2018-2022</w:t>
      </w:r>
    </w:p>
    <w:p>
      <w:pPr>
        <w:jc w:val="center"/>
      </w:pPr>
      <w:r>
        <w:rPr>
          <w:b/>
          <w:caps/>
          <w:rFonts w:ascii="[FontFamily: Name=Calibri]" w:hAnsi="[FontFamily: Name=Calibri]" w:cs="[FontFamily: Name=Calibri]" w:eastAsia="[FontFamily: Name=Calibri]"/>
          <w:sz w:val="32"/>
          <w:szCs w:val="32"/>
          <w:color w:val="009CDB"/>
        </w:rPr>
        <w:t>UN WOMEN Morocco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 participate in and benefit equally from governance systems</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1. Democratic Governance and Advanced regionalization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policies and budgets at national and local levels are gender sensitive and are enhanced by comprehensive and dynamic normative frameworks and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Nbr of gender-based national sectorial strategies effectively designed in Morocco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Ministries supported by the FAD/AFD and UE to develop gender analysis: Ministry of Helath, Ministry of National Education, Ministry of Vocational Training, Ministry of Family, Solidarity, Equality and Social Development, Ministry of Agriculture and Fishery, Ministry of Youth and Sports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gender based national sectorial strategies and corresponding action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Nbr of initiatives aiming to assess gender allocations impacts in Morocco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Gender annex to Finance organic law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Number of laws on gender equality and women empowerment adopted and/or modified in line with international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(3 additional laws: Inheritance-penal code-VAW)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Human trafficking-domestic work-APALD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Bulletin officiel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Sectoral ministries, local authorities, the parliament and evaluation bodies have enhanced capacities and tools to plan, implement and evaluate gender sensitive strategies and make strategic budget allocation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performance projects (budget programmes) submitted by sectoral ministries supported by UN Women including between 20% and 40% of gender-sensitive objectives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Findings of the Gender Sectoral study of French Agency for Development targeting 6 Moroccan ministries; Yearly Performance Projects submitted by the 6 sectoral ministries supported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UNW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Final Performance Projects submitted by sectoral ministries to the Finance Ministry of Finance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regions with enhanced capacities in gender responsive local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UNW training reports: 3 represents the number of regions targeted by UNW capacity building trainings on gender responsive local planning and budgeting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UNW Evaluation assessement reports.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1.1.1F:  </w:t>
            </w:r>
            <w:r>
              <w:rPr>
                <w:rFonts w:ascii="[FontFamily: Name=Calibri]" w:hAnsi="[FontFamily: Name=Calibri]" w:cs="[FontFamily: Name=Calibri]" w:eastAsia="[FontFamily: Name=Calibri]"/>
                <w:sz w:val="18"/>
                <w:szCs w:val="18"/>
              </w:rPr>
              <w:t>Number of strengthened gender entities within sectoral ministries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1.1.1G:  </w:t>
            </w:r>
            <w:r>
              <w:rPr>
                <w:rFonts w:ascii="[FontFamily: Name=Calibri]" w:hAnsi="[FontFamily: Name=Calibri]" w:cs="[FontFamily: Name=Calibri]" w:eastAsia="[FontFamily: Name=Calibri]"/>
                <w:sz w:val="18"/>
                <w:szCs w:val="18"/>
              </w:rPr>
              <w:t>Availability of digital tools to mainstream GE in the public service.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MOOC élaboré et mis en place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1,913,491.00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808,743.00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618,553.00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3,997,521.00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production of gender statistics to enable the monitoring of national policies and reporting commitments under the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1.3A:  </w:t>
            </w:r>
            <w:r>
              <w:rPr>
                <w:rFonts w:ascii="[FontFamily: Name=Calibri]" w:hAnsi="[FontFamily: Name=Calibri]" w:cs="[FontFamily: Name=Calibri]" w:eastAsia="[FontFamily: Name=Calibri]"/>
                <w:sz w:val="18"/>
                <w:szCs w:val="18"/>
              </w:rPr>
              <w:t>Percentage of national minimum core set of gender indicators (BMSGI) produced and published in the previous 5 years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1.3B:  </w:t>
            </w:r>
            <w:r>
              <w:rPr>
                <w:rFonts w:ascii="[FontFamily: Name=Calibri]" w:hAnsi="[FontFamily: Name=Calibri]" w:cs="[FontFamily: Name=Calibri]" w:eastAsia="[FontFamily: Name=Calibri]"/>
                <w:sz w:val="18"/>
                <w:szCs w:val="18"/>
              </w:rPr>
              <w:t>Number of data producers with strengthened capacities in the collection, analysis, dissemination and use of gender statistics, including in improving Tier II et Tier III SDGs indicators,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the NSS is strengthened to produce the gender-related Tier I and II indicators to address national data gaps</w:t>
            </w:r>
          </w:p>
        </w:tc>
        <w:tc>
          <w:tcPr>
            <w:tcW w:w="5000" w:type="dxa"/>
          </w:tcPr>
          <w:p>
            <w:pPr/>
            <w:r>
              <w:rPr>
                <w:b/>
                <w:rFonts w:ascii="[FontFamily: Name=Calibri]" w:hAnsi="[FontFamily: Name=Calibri]" w:cs="[FontFamily: Name=Calibri]" w:eastAsia="[FontFamily: Name=Calibri]"/>
                <w:sz w:val="18"/>
                <w:szCs w:val="18"/>
              </w:rPr>
              <w:t xml:space="preserve">Indicator 1.3.1A:  </w:t>
            </w:r>
            <w:r>
              <w:rPr>
                <w:rFonts w:ascii="[FontFamily: Name=Calibri]" w:hAnsi="[FontFamily: Name=Calibri]" w:cs="[FontFamily: Name=Calibri]" w:eastAsia="[FontFamily: Name=Calibri]"/>
                <w:sz w:val="18"/>
                <w:szCs w:val="18"/>
              </w:rPr>
              <w:t>Existence of analyses of a) time use survey and/or b) a violence against women prevalence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Yes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VAW survey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Domestic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Annual Reports, Training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1.3.1C:  </w:t>
            </w:r>
            <w:r>
              <w:rPr>
                <w:rFonts w:ascii="[FontFamily: Name=Calibri]" w:hAnsi="[FontFamily: Name=Calibri]" w:cs="[FontFamily: Name=Calibri]" w:eastAsia="[FontFamily: Name=Calibri]"/>
                <w:sz w:val="18"/>
                <w:szCs w:val="18"/>
              </w:rPr>
              <w:t>Number of producers and users of gender sensitive data and statistics trained at the national and territorial levels in monitoring the SDGs, particularly SDG5.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1.3.1D:  </w:t>
            </w:r>
            <w:r>
              <w:rPr>
                <w:rFonts w:ascii="[FontFamily: Name=Calibri]" w:hAnsi="[FontFamily: Name=Calibri]" w:cs="[FontFamily: Name=Calibri]" w:eastAsia="[FontFamily: Name=Calibri]"/>
                <w:sz w:val="18"/>
                <w:szCs w:val="18"/>
              </w:rPr>
              <w:t>A composite index of gender inequalities is produced.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1.3.1E:  </w:t>
            </w:r>
            <w:r>
              <w:rPr>
                <w:rFonts w:ascii="[FontFamily: Name=Calibri]" w:hAnsi="[FontFamily: Name=Calibri]" w:cs="[FontFamily: Name=Calibri]" w:eastAsia="[FontFamily: Name=Calibri]"/>
                <w:sz w:val="18"/>
                <w:szCs w:val="18"/>
              </w:rPr>
              <w:t>Number of expertise mobilized to support the production and strengthening of gender indicators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 development of satellite account and analysis of the evolution of social norms and dynamic within Moroccan households)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Improved use of gender statistics by different players to inform advocacy, research, policies and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1.4A:  </w:t>
            </w:r>
            <w:r>
              <w:rPr>
                <w:rFonts w:ascii="[FontFamily: Name=Calibri]" w:hAnsi="[FontFamily: Name=Calibri]" w:cs="[FontFamily: Name=Calibri]" w:eastAsia="[FontFamily: Name=Calibri]"/>
                <w:sz w:val="18"/>
                <w:szCs w:val="18"/>
              </w:rPr>
              <w:t>Number of national reports on (a) the implementation of the SDGs from a gender perspective developed with the support of UN Women (SP indicator 6.2)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1.4B:  </w:t>
            </w:r>
            <w:r>
              <w:rPr>
                <w:rFonts w:ascii="[FontFamily: Name=Calibri]" w:hAnsi="[FontFamily: Name=Calibri]" w:cs="[FontFamily: Name=Calibri]" w:eastAsia="[FontFamily: Name=Calibri]"/>
                <w:sz w:val="18"/>
                <w:szCs w:val="18"/>
              </w:rPr>
              <w:t>Number of data users with strengthened capacities in the collection, analysis, dissemination and use of gender statistics, including in improving Tier II et Tier III SDGs indicators,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Accessibility and dissemination of gender statistics to NSS and data users is Increased</w:t>
            </w:r>
          </w:p>
        </w:tc>
        <w:tc>
          <w:tcPr>
            <w:tcW w:w="5000" w:type="dxa"/>
          </w:tcPr>
          <w:p>
            <w:pPr>
              <w:rPr>
                <w:rFonts/>
                <w:sz w:val="18"/>
                <w:szCs w:val="18"/>
              </w:rPr>
            </w:pPr>
            <w:r>
              <w:rPr>
                <w:b/>
                <w:rFonts w:ascii="[FontFamily: Name=Calibri]" w:hAnsi="[FontFamily: Name=Calibri]" w:cs="[FontFamily: Name=Calibri]" w:eastAsia="[FontFamily: Name=Calibri]"/>
                <w:sz w:val="18"/>
                <w:szCs w:val="18"/>
              </w:rPr>
              <w:t xml:space="preserve">Indicator 1.4.3B:  </w:t>
            </w:r>
            <w:r>
              <w:rPr>
                <w:rFonts w:ascii="[FontFamily: Name=Calibri]" w:hAnsi="[FontFamily: Name=Calibri]" w:cs="[FontFamily: Name=Calibri]" w:eastAsia="[FontFamily: Name=Calibri]"/>
                <w:sz w:val="18"/>
                <w:szCs w:val="18"/>
              </w:rPr>
              <w:t>user-friendly online platforms for key gender statistics is established by HCP (NSO) with UNW’s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(employment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gender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1.4.3C:  </w:t>
            </w:r>
            <w:r>
              <w:rPr>
                <w:rFonts w:ascii="[FontFamily: Name=Calibri]" w:hAnsi="[FontFamily: Name=Calibri]" w:cs="[FontFamily: Name=Calibri]" w:eastAsia="[FontFamily: Name=Calibri]"/>
                <w:sz w:val="18"/>
                <w:szCs w:val="18"/>
              </w:rPr>
              <w:t>Number of produced infographics and extension documents containing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1.4.3D:  </w:t>
            </w:r>
            <w:r>
              <w:rPr>
                <w:rFonts w:ascii="[FontFamily: Name=Calibri]" w:hAnsi="[FontFamily: Name=Calibri]" w:cs="[FontFamily: Name=Calibri]" w:eastAsia="[FontFamily: Name=Calibri]"/>
                <w:sz w:val="18"/>
                <w:szCs w:val="18"/>
              </w:rPr>
              <w:t>Number of communication events around gender statistics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1.4.4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institutionalization of user-producer dialogues to increase accessibility, quality and demand for gender statistics is initiated /enhanced</w:t>
            </w:r>
          </w:p>
        </w:tc>
        <w:tc>
          <w:tcPr>
            <w:tcW w:w="5000" w:type="dxa"/>
          </w:tcPr>
          <w:p>
            <w:pPr/>
            <w:r>
              <w:rPr>
                <w:b/>
                <w:rFonts w:ascii="[FontFamily: Name=Calibri]" w:hAnsi="[FontFamily: Name=Calibri]" w:cs="[FontFamily: Name=Calibri]" w:eastAsia="[FontFamily: Name=Calibri]"/>
                <w:sz w:val="18"/>
                <w:szCs w:val="18"/>
              </w:rPr>
              <w:t xml:space="preserve">Indicator 1.4.4A:  </w:t>
            </w:r>
            <w:r>
              <w:rPr>
                <w:rFonts w:ascii="[FontFamily: Name=Calibri]" w:hAnsi="[FontFamily: Name=Calibri]" w:cs="[FontFamily: Name=Calibri]" w:eastAsia="[FontFamily: Name=Calibri]"/>
                <w:sz w:val="18"/>
                <w:szCs w:val="18"/>
              </w:rPr>
              <w:t>Number of meetings to facilitate collaboration between users and producers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UNW's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Strengthened policy and financial environment to enable gender-responsive national adaptation and effective monitoring of the SDGs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Capacity of all directorates of the national statistics office is strengthened to integrate gender into planning processes and studies' implementation, and awareness-raising  initiatives are undertaken to sensitize the national statistics system in favour of an enabling legal framework and coordination mechanism</w:t>
            </w:r>
          </w:p>
        </w:tc>
        <w:tc>
          <w:tcPr>
            <w:tcW w:w="5000" w:type="dxa"/>
          </w:tcPr>
          <w:p>
            <w:pP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1,913,491.00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808,743.00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618,553.00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3,997,521.00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237,303.00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1.4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1.6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1,913,491.00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1,064,046.00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618,553.00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656,734.00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4,277,824.00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UNDAF Outcome 2. Inclusive and sustainable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An enabling environment is established to promote economic empowerment and decent employment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rural women supported to gain access, use and/or control of productive resources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Strategic national initiatives on Women’s Economic Empowerment (WEE) are implemented to strengthen the policy framework promoting WEE</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advocacy initiatives targeting stakeholders (institutional partners, donors, private sector) to promote implementation of the National Strategy of WEE  National Strategy of Women’s Economic Empowerments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2.1.2C:  </w:t>
            </w:r>
            <w:r>
              <w:rPr>
                <w:rFonts w:ascii="[FontFamily: Name=Calibri]" w:hAnsi="[FontFamily: Name=Calibri]" w:cs="[FontFamily: Name=Calibri]" w:eastAsia="[FontFamily: Name=Calibri]"/>
                <w:sz w:val="18"/>
                <w:szCs w:val="18"/>
              </w:rPr>
              <w:t>Number of private sector companies joining the WEPs global initiative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Additional companies to join the WEPs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WEP'S website, UNW's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initiatives to secure sustainable income and decent employment for vulnerable women are implemented</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vulnerable fisherwomen targeted by WEE initiatives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276</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UNW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All women and girls live a life free from all forms of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UNDAF Outcome 5. Economic inclusion reduced inequalities and vulnerabilities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2018</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2019</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Stakeholders are committed to prevent VAW and to deliver quality essential services to WSV</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3.1A:  </w:t>
            </w:r>
            <w:r>
              <w:rPr>
                <w:rFonts w:ascii="[FontFamily: Name=Calibri]" w:hAnsi="[FontFamily: Name=Calibri]" w:cs="[FontFamily: Name=Calibri]" w:eastAsia="[FontFamily: Name=Calibri]"/>
                <w:sz w:val="18"/>
                <w:szCs w:val="18"/>
              </w:rPr>
              <w:t>Number of strengthened legislation addressing GBV and gender-based discriminations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reforms of the penal code, Law on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Penal code ; Bulletin officiel</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national and local authorities are strengthened to adopt and implement comprehensive public policies, in line with international standards, to prevent and respond to VAWG, including access to quality essential services</w:t>
            </w:r>
          </w:p>
        </w:tc>
        <w:tc>
          <w:tcPr>
            <w:tcW w:w="5000" w:type="dxa"/>
          </w:tcPr>
          <w:p>
            <w:pP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institutional partners technically supported on implementing  public policies against VAWG and gender-based discriminations , including sectorial essentiel services and multi-sectorial coordination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It is expected to technically support 8 institutional partners by 2021. Targeted institutional partners: Police, Health, City of Rabat, Ministry of Housing, HACA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Magistrates, Social workers, City of Marrakech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3.1.1C:  </w:t>
            </w:r>
            <w:r>
              <w:rPr>
                <w:rFonts w:ascii="[FontFamily: Name=Calibri]" w:hAnsi="[FontFamily: Name=Calibri]" w:cs="[FontFamily: Name=Calibri]" w:eastAsia="[FontFamily: Name=Calibri]"/>
                <w:sz w:val="18"/>
                <w:szCs w:val="18"/>
              </w:rPr>
              <w:t>Number of knowledge products on EVAWG and gender-based discriminations supported and disseminated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(2 new studies each year). 16 studies expected to be produced and disseminated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IMAGES survey, Qiwamah study, Rabat and Marrakech Scoping studies, Human trafficking diagnosis, 2 annual reports on statistics from the Family courts, 1 on public spaces safety in Casablanca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Surveys,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803,900.00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gender equality advocates are enhanced towards social mobilization and innovative transformative approaches to promote favorable social norms, attitudes, and behaviors related to women's rights to enjoy a life free from violence in public and private spaces</w:t>
            </w:r>
          </w:p>
        </w:tc>
        <w:tc>
          <w:tcPr>
            <w:tcW w:w="5000" w:type="dxa"/>
          </w:tcPr>
          <w:p>
            <w:pP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advocacy initiatives against violence and all forms of discrimination carried out with UN Women's support (by civil society organizations, national institutions, local authorities, academic institutions, the private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 Target by the end of 2021: 70 (7 new initiatives/campaigns on average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42 initiatives/campaigns supported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civil society organizations, national institutions, local authorities, academic institutions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403,371.00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247,788.00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476,509.00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356,620.00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38,034.00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1,484,288.00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Cities and local stakeholders develop responses to develop empowering public spaces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3.2A:  </w:t>
            </w:r>
            <w:r>
              <w:rPr>
                <w:rFonts w:ascii="[FontFamily: Name=Calibri]" w:hAnsi="[FontFamily: Name=Calibri]" w:cs="[FontFamily: Name=Calibri]" w:eastAsia="[FontFamily: Name=Calibri]"/>
                <w:sz w:val="18"/>
                <w:szCs w:val="18"/>
              </w:rPr>
              <w:t>Urban development/revitalization/economic development projects in public spaces in the sites of intervention are assessed as economically viable and safe from SVAWG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Capacities of national and local authorities and stakeholders are strenghtened to adopt and implement local responses to develop safe public spaces for women and girls</w:t>
            </w:r>
          </w:p>
        </w:tc>
        <w:tc>
          <w:tcPr>
            <w:tcW w:w="5000" w:type="dxa"/>
          </w:tcPr>
          <w:p>
            <w:pPr/>
            <w:r>
              <w:rPr>
                <w:b/>
                <w:rFonts w:ascii="[FontFamily: Name=Calibri]" w:hAnsi="[FontFamily: Name=Calibri]" w:cs="[FontFamily: Name=Calibri]" w:eastAsia="[FontFamily: Name=Calibri]"/>
                <w:sz w:val="18"/>
                <w:szCs w:val="18"/>
              </w:rPr>
              <w:t xml:space="preserve">Indicator 3.2.1A:  </w:t>
            </w:r>
            <w:r>
              <w:rPr>
                <w:rFonts w:ascii="[FontFamily: Name=Calibri]" w:hAnsi="[FontFamily: Name=Calibri]" w:cs="[FontFamily: Name=Calibri]" w:eastAsia="[FontFamily: Name=Calibri]"/>
                <w:sz w:val="18"/>
                <w:szCs w:val="18"/>
              </w:rPr>
              <w:t>Number of  established and operational mechanisms to track adoption and implementation of local responses to develop safe spaces for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Terms of Reference of the mechanisms; programme documents; UNW annual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170,417.00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655,417.00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Enhanced knowledge of women, girls, men and boys on EVAWG gender-based discriminations and masculinities to engage equally as active citizens in their communities</w:t>
            </w:r>
          </w:p>
        </w:tc>
        <w:tc>
          <w:tcPr>
            <w:tcW w:w="5000" w:type="dxa"/>
          </w:tcPr>
          <w:p>
            <w:pPr/>
            <w:r>
              <w:rPr>
                <w:b/>
                <w:rFonts w:ascii="[FontFamily: Name=Calibri]" w:hAnsi="[FontFamily: Name=Calibri]" w:cs="[FontFamily: Name=Calibri]" w:eastAsia="[FontFamily: Name=Calibri]"/>
                <w:sz w:val="18"/>
                <w:szCs w:val="18"/>
              </w:rPr>
              <w:t xml:space="preserve">Indicator 3.2.2A:  </w:t>
            </w:r>
            <w:r>
              <w:rPr>
                <w:rFonts w:ascii="[FontFamily: Name=Calibri]" w:hAnsi="[FontFamily: Name=Calibri]" w:cs="[FontFamily: Name=Calibri]" w:eastAsia="[FontFamily: Name=Calibri]"/>
                <w:sz w:val="18"/>
                <w:szCs w:val="18"/>
              </w:rPr>
              <w:t>Number of women, men, girls and boys engaged on EVAWG, gender-based discriminations, and masculinities through UNW's and CSOs' advocacy and information campaigns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 men and 2200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 men and 3200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6000 men and 9000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8000 men and 12 000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7 000 men and 10 000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5607 men and 1767 women</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reports; Media  Metrics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3.2.2B:  </w:t>
            </w:r>
            <w:r>
              <w:rPr>
                <w:rFonts w:ascii="[FontFamily: Name=Calibri]" w:hAnsi="[FontFamily: Name=Calibri]" w:cs="[FontFamily: Name=Calibri]" w:eastAsia="[FontFamily: Name=Calibri]"/>
                <w:sz w:val="18"/>
                <w:szCs w:val="18"/>
              </w:rPr>
              <w:t>Percentage of participating fathers and mothers in Program P who have more positive attitudes towards gender equality and fathers involvement in child care.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Partner narrative report (Quartiers du Monde: implementing partner of Programme P)</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676,690.00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624,847.00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1,364,537.00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495,371.00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823,788.00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551,009.00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418,020.00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38,034.00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2,288,188.00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847,107.00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858,847.00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2,019,954.00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1,342,478.00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1,682,635.00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721,009.00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19,017.00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562,020.00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38,034.00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4,308,142.00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e719b81aea664a4b" Type="http://schemas.openxmlformats.org/officeDocument/2006/relationships/settings" Target="/word/settings.xml"/><Relationship Id="R61a5504995b14f58" Type="http://schemas.openxmlformats.org/officeDocument/2006/relationships/footer" Target="/word/footer1.xml"/><Relationship Id="R68944bd3a05741c7" Type="http://schemas.openxmlformats.org/officeDocument/2006/relationships/footer" Target="/word/footer2.xml"/><Relationship Id="rId3" Type="http://schemas.openxmlformats.org/officeDocument/2006/relationships/customXml" Target="../customXml/item3.xml"/><Relationship Id="R1eb831d7148540ee" Type="http://schemas.openxmlformats.org/officeDocument/2006/relationships/numbering" Target="/word/numbering.xml"/><Relationship Id="R3fe3dc77e9d34636" Type="http://schemas.openxmlformats.org/officeDocument/2006/relationships/image" Target="/word/media/8ad71da1-3a19-4d7c-9066-15739a8c5932.jpeg"/><Relationship Id="rId2" Type="http://schemas.openxmlformats.org/officeDocument/2006/relationships/customXml" Target="../customXml/item2.xml"/><Relationship Id="rId1" Type="http://schemas.openxmlformats.org/officeDocument/2006/relationships/customXml" Target="../customXml/item1.xml"/><Relationship Id="R3d5f0e61e4064c8f" Type="http://schemas.openxmlformats.org/officeDocument/2006/relationships/styles" Target="/word/styles.xml"/><Relationship Id="R1daed6984ce44083" Type="http://schemas.openxmlformats.org/officeDocument/2006/relationships/image" Target="/word/media/70975dca-fe5e-445d-a3cd-864078c048f3.jpeg"/><Relationship Id="R2820971681074273"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9B882128-2510-4664-A621-79CC7343F1E0}"/>
</file>

<file path=customXml/itemProps2.xml><?xml version="1.0" encoding="utf-8"?>
<ds:datastoreItem xmlns:ds="http://schemas.openxmlformats.org/officeDocument/2006/customXml" ds:itemID="{23D9B43F-E833-4FBE-8890-6C7606894C4B}"/>
</file>

<file path=customXml/itemProps3.xml><?xml version="1.0" encoding="utf-8"?>
<ds:datastoreItem xmlns:ds="http://schemas.openxmlformats.org/officeDocument/2006/customXml" ds:itemID="{AF8DBFC2-66F6-43C2-A803-2611DEFD784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