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38cb8d50a947458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0bba817297c044a2"/>
      <w:footerReference w:type="even" r:id="R85982d120c4a4b67"/>
      <w:footerReference w:type="first" r:id="Re034ced29d3e41bc"/>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69bf97cd0f4390"/>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e678fd5ae0483d"/>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Nepal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Impact 1 : SP Outcome 2 : Women lead, participate in and benefit equally from governance systems</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4:  By 2022, inclusive, democratic, accountable and transparent institutions are further strengthened towards ensuring rule of law, social justice and human rights for all, particularly for vulnerable people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2:  By 2022 there is improved, equitable access, availability and utilization of quality basic social services for all, particularly for vulnerable people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3:    By 2022, environmental management, sustainable recovery and reconstruction, and resilience to climate change and disaster are strengthened at all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provincial and local level authorities implement and develop evidence-based gender-responsive laws, plans and budgets to advance inclusive governance and access to justice in Nepal by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Number of gender responsive laws (EVAW) and national action plans developed and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7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7 (cumulative) - 3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9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9 (cumulative) - 2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11 (cumulative) -2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12 (cumulative) -1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12 (cumulative) -0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Gender responsive laws include laws passed by Federal and Provincial Parliaments and draft bills being considered by Federal and Provincial Parliaments on women's human rights that are aligned with international and national instruments including CEDAW and the Constitution of Nepal. National action plan here includes [a] second plan of action on UNSCR 1325 and 1820 and [b] national strategic action plan for  disaster risk reduction.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MoLJPA, MOHA, MOPR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Percentage of national budget that is directly gender responsive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37.42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In the fiscal year 2016/17 the figure was 23.1%. In the fiscal year 2007/08 the figure was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Ministry of Finance Budget Speech</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1.1C:  </w:t>
            </w:r>
            <w:r>
              <w:rPr>
                <w:rFonts w:ascii="[FontFamily: Name=Calibri]" w:hAnsi="[FontFamily: Name=Calibri]" w:cs="[FontFamily: Name=Calibri]" w:eastAsia="[FontFamily: Name=Calibri]"/>
                <w:sz w:val="18"/>
                <w:szCs w:val="18"/>
              </w:rPr>
              <w:t>Number of sub national governments (municipalities) with gender responsive plans and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50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(new)</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Numerator [if applicable]: No. of sub-national governments [municipalities and rural municipalities] having gender-responsive plans and budgets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Denominator [if applicable]: Total no. of sub-national governments [753 municipalities and rural municipalities]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Sample size [if applicable]: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Cross-reference [If applicable]: MoFALD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Unit of measurement: Number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Geographical coverage: 7 provinces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Disaggregated by: Ecological zone [Mountain, Hill, Terai]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100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100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100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100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 xml:space="preserve">Sub-national government include provincial and local level governments. The local level government consist of: [a] municipalities [metropolitan, sub-metropolitan and municipalities], and [b] rural municipalities [Gaun-palika].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Number of sub-national governments (municipalities) with gender-responsive plans and budgets means the capacity of sub-national governments to integrate gender-responsive budgeting in public finance management. Local elections were held in Nepal in 2017 after a gap of nearly 20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Sub national governments reports available on the MoFLD website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1.1E:  </w:t>
            </w:r>
            <w:r>
              <w:rPr>
                <w:rFonts w:ascii="[FontFamily: Name=Calibri]" w:hAnsi="[FontFamily: Name=Calibri]" w:cs="[FontFamily: Name=Calibri]" w:eastAsia="[FontFamily: Name=Calibri]"/>
                <w:sz w:val="18"/>
                <w:szCs w:val="18"/>
              </w:rPr>
              <w:t>Number of recommendations from the CEDAW Concluding Observations implemented by the Government of Nepal (for the sixth CEDAW periodic report of the Government of Nepal).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As of September 2017, the GON has been slotted for CEDAW reporting during the 71st session in October-November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5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5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5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5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As of September 2017, the GON has been slotted for CEDAW reporting during the 71st session in October-November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MoWCSW and NWC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1.1F:  </w:t>
            </w:r>
            <w:r>
              <w:rPr>
                <w:rFonts w:ascii="[FontFamily: Name=Calibri]" w:hAnsi="[FontFamily: Name=Calibri]" w:cs="[FontFamily: Name=Calibri]" w:eastAsia="[FontFamily: Name=Calibri]"/>
                <w:sz w:val="18"/>
                <w:szCs w:val="18"/>
              </w:rPr>
              <w:t>Rule of Law Index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Rule of Law Index</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Key government officials have increased capacity to formulate/reform gender responsive laws [EVAW], plans [NAP on UNSCR 1325 and subsequent resolutions and Disaster Risk Reduction (DRR)], budgets and statistics in line with the Constitution and international standards including CEDAW and UPR</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gender responsive bills (EVAW) and national action plans (DRR and NAP on UNSR 1325) drafted in conformity with CEDAW Concluding Observations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5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2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2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5 bills [ local governance bill, civil code,  country criminal act, comprehensive EVAW bill and equal opportunity bill]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 NAP second phase of NAP on UNSCRs 1325 and 1820 endorsed in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 and MoPR and MOHA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Sectoral GRB analysis made available by the Ministry of Finance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Sectoral GRB analysis means detailed analysis of application of gender-responsive budget [GRB] in select sectoral ministries at the national level to be identified in collaboration with MoF. The GoN is in the process of revising the list of central ministries, which may be reduced to a total of 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Sectoral GRB analysis reports available on the MoF website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1.1.1C:  </w:t>
            </w:r>
            <w:r>
              <w:rPr>
                <w:rFonts w:ascii="[FontFamily: Name=Calibri]" w:hAnsi="[FontFamily: Name=Calibri]" w:cs="[FontFamily: Name=Calibri]" w:eastAsia="[FontFamily: Name=Calibri]"/>
                <w:sz w:val="18"/>
                <w:szCs w:val="18"/>
              </w:rPr>
              <w:t>Number of data producers with strengthened capacities in the collection, analysis, dissemination and use of gender statistics, including in improving Tier II and Tier III gender-related SDGs indicators, with UN-Women’s support (SP indicator 6.4a)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Census Training report from CBS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78,700.00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980,175.00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458,700.00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2,930,175.00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Key duty bearers (including in provincial and district courts and select national commissions) have enhanced governance capacity  to implement and monitor gender responsive laws, polices, budgets, provision of essential quality services including on EVAW to advance women’s human rights and promote inclusive governance and access to justice</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Number of duty bearers with governance capacity to implement and monitor gender responsive laws, polices, budgets and provision of essential quality services (including EVAW) with UN Women support, especially at the local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2500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2500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5000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5000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5000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5000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3500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3500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16,000 duty bearers by 2022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Governance capacity refers to the ability to represent and undertake informed decision-making on behalf of group members, including on constituents’ access to opportunities and the allocation of resources through the enactment of public policies, laws and programmes.  In supporting governance capacities, the NCO seeks to advance:  (a) knowledge of plans, policies, budgets, processes, and systems;  (b) critical and analytical thinking, and skills in presentation, debate, and negotiation;  (c) advocacy and lobbying to influence decision-making;  (d) leadership and constituency engagement;  (e) use of information and communications technology (ICT) and social media;  (f) public speaking and confidence building.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MoFALD and NJA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Partner's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Percentage of Universal Periodic Review recommendations implemented by the Government of Nepal with UN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UPR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1.1.2C:  </w:t>
            </w:r>
            <w:r>
              <w:rPr>
                <w:rFonts w:ascii="[FontFamily: Name=Calibri]" w:hAnsi="[FontFamily: Name=Calibri]" w:cs="[FontFamily: Name=Calibri]" w:eastAsia="[FontFamily: Name=Calibri]"/>
                <w:sz w:val="18"/>
                <w:szCs w:val="18"/>
              </w:rPr>
              <w:t>Monitoring reports reviewing progress on women’s human rights produced by government officials in select national commissions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2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2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2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2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2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 of NWC, Dalit, Madhesi Commissions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99,000.00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559,000.00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Excluded groups have strengthened leadership  capacity, voice and agency to demand accountability and transparency for inclusive governance and access to justice at the federal and local levels advancing the implementation of SDG 5 and 16 across the development and humanitarian continuum</w:t>
            </w:r>
          </w:p>
        </w:tc>
        <w:tc>
          <w:tcPr>
            <w:tcW w:w="5000" w:type="dxa"/>
          </w:tcPr>
          <w:p>
            <w:pPr/>
            <w:r>
              <w:rPr>
                <w:b/>
                <w:rFonts w:ascii="[FontFamily: Name=Calibri]" w:hAnsi="[FontFamily: Name=Calibri]" w:cs="[FontFamily: Name=Calibri]" w:eastAsia="[FontFamily: Name=Calibri]"/>
                <w:sz w:val="18"/>
                <w:szCs w:val="18"/>
              </w:rPr>
              <w:t xml:space="preserve">Indicator 1.1.3A:  </w:t>
            </w:r>
            <w:r>
              <w:rPr>
                <w:rFonts w:ascii="[FontFamily: Name=Calibri]" w:hAnsi="[FontFamily: Name=Calibri]" w:cs="[FontFamily: Name=Calibri]" w:eastAsia="[FontFamily: Name=Calibri]"/>
                <w:sz w:val="18"/>
                <w:szCs w:val="18"/>
              </w:rPr>
              <w:t>Number of excluded groups engaged for the advancement of SDG 5 and 16 implementation on inclusive governance and access to justice through dialogue mechanism to promote gender equality and social inclusion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2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2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2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2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2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(new)</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Examples: Expert Group Meetings, briefings, consultations, town halls, side events, etc.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virtual: online spaces that your office create in which civil society contributes to intergovernmental processes and global policy discussions.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Examples: 'Community of Practice's', social media, online discussions, website stories, etc.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other forms of expressions where civil society contributes to intergovernmental processes and global policy discussions.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Examples: stakeholder surveys, shadow reports, studies, interviews, campaigns, videos and films, art projects, etc.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Bilateral meetings with individuals (civil society leaders or activists) does not count towards this indicator.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 The United Nations has defined transitional justice as “the full range of. processes and mechanisms associated with a society's attempt to come. to terms with a legacy of large-scale past abuses, in order to ensure. accountability, serve justice and achieve reconciliation.”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Reparation (Transitional Justice):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The terms vulnerable, marginalized and excluded are used interchangeably and include the following - Networks of excluded women [from rural women farmers, conflicted affected women, trafficked survivors, returnee women migrant workers, home base workers, HIV positive women], as well as LGBTI, indigenous, people with disabilities and Dalits.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"Dialogues convened and platforms created" include: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in person: meetings that your office convenes with a focus on civil society constituencies, as well as opportunities created by your office for civil society to contribute in oral or written form to intergovernmental processes (e.g., CSW, SDGs/HLPF, Security Council, Human Rights Council, etc.) and global policy discussions (e.g., on equal pay for work of equal value, on shrinking and protection of civil society space, migration, inclusive democracy,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1.1.3B:  </w:t>
            </w:r>
            <w:r>
              <w:rPr>
                <w:rFonts w:ascii="[FontFamily: Name=Calibri]" w:hAnsi="[FontFamily: Name=Calibri]" w:cs="[FontFamily: Name=Calibri]" w:eastAsia="[FontFamily: Name=Calibri]"/>
                <w:sz w:val="18"/>
                <w:szCs w:val="18"/>
              </w:rPr>
              <w:t>Number of women with access to information from virtual information desks established by UN Women partners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indicator in light of the COVID-19 addendum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from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1.1.3C:  </w:t>
            </w:r>
            <w:r>
              <w:rPr>
                <w:rFonts w:ascii="[FontFamily: Name=Calibri]" w:hAnsi="[FontFamily: Name=Calibri]" w:cs="[FontFamily: Name=Calibri]" w:eastAsia="[FontFamily: Name=Calibri]"/>
                <w:sz w:val="18"/>
                <w:szCs w:val="18"/>
              </w:rPr>
              <w:t>Existence of common charter of demands/appeal for gender equality and empowerment of women in the COVID-19 preparedness and response focusing on immediate, short-term and long-term requests that inform  policy action across sectors at national and sub-national level and is monitored on a regular basis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Monitoring of charter of demands to continue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indicator in light of the COVID-19 addendum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Common Charter of Demand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1.1.3D:  </w:t>
            </w:r>
            <w:r>
              <w:rPr>
                <w:rFonts w:ascii="[FontFamily: Name=Calibri]" w:hAnsi="[FontFamily: Name=Calibri]" w:cs="[FontFamily: Name=Calibri]" w:eastAsia="[FontFamily: Name=Calibri]"/>
                <w:sz w:val="18"/>
                <w:szCs w:val="18"/>
              </w:rPr>
              <w:t>Analysis of patterns of change in social norms for gender equality made available using the Sense Maker tool in select provinces.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from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1.1.3E:  </w:t>
            </w:r>
            <w:r>
              <w:rPr>
                <w:rFonts w:ascii="[FontFamily: Name=Calibri]" w:hAnsi="[FontFamily: Name=Calibri]" w:cs="[FontFamily: Name=Calibri]" w:eastAsia="[FontFamily: Name=Calibri]"/>
                <w:sz w:val="18"/>
                <w:szCs w:val="18"/>
              </w:rPr>
              <w:t>Number of storytellers skilled to document stories using feminist pedagogy in the select provinces for public and political advocacy.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from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1.1.3F:  </w:t>
            </w:r>
            <w:r>
              <w:rPr>
                <w:rFonts w:ascii="[FontFamily: Name=Calibri]" w:hAnsi="[FontFamily: Name=Calibri]" w:cs="[FontFamily: Name=Calibri]" w:eastAsia="[FontFamily: Name=Calibri]"/>
                <w:sz w:val="18"/>
                <w:szCs w:val="18"/>
              </w:rPr>
              <w:t>Number of knowledge and communication products developed using the stories of resilience to advance dialogues on social norm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Knowledge and communication products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1.1.3G:  </w:t>
            </w:r>
            <w:r>
              <w:rPr>
                <w:rFonts w:ascii="[FontFamily: Name=Calibri]" w:hAnsi="[FontFamily: Name=Calibri]" w:cs="[FontFamily: Name=Calibri]" w:eastAsia="[FontFamily: Name=Calibri]"/>
                <w:sz w:val="18"/>
                <w:szCs w:val="18"/>
              </w:rPr>
              <w:t>Number of intergenerational dialogues with men and boys, interfaith leaders and excluded groups on addressing discriminatory social norms and harmful practices as part of Generation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from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46,850.00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86,850.00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 Supportive and well-coordinated policy environment in place to ensure gender-responsive localization and effective monitoring of the SDGs (to be de-activated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1.2B:  </w:t>
            </w:r>
            <w:r>
              <w:rPr>
                <w:rFonts w:ascii="[FontFamily: Name=Calibri]" w:hAnsi="[FontFamily: Name=Calibri]" w:cs="[FontFamily: Name=Calibri]" w:eastAsia="[FontFamily: Name=Calibri]"/>
                <w:sz w:val="18"/>
                <w:szCs w:val="18"/>
              </w:rPr>
              <w:t>National Strategy for the Development of Statistics (NSDS) fully integrates a gender perspective developed and implemented with UN Women support (SP indicator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Strategy for the Development of Statistics (NSDS)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1.2D:  </w:t>
            </w:r>
            <w:r>
              <w:rPr>
                <w:rFonts w:ascii="[FontFamily: Name=Calibri]" w:hAnsi="[FontFamily: Name=Calibri]" w:cs="[FontFamily: Name=Calibri]" w:eastAsia="[FontFamily: Name=Calibri]"/>
                <w:sz w:val="18"/>
                <w:szCs w:val="18"/>
              </w:rPr>
              <w:t>Funding gap for Women Count Nepal as a % of total project cost (UN Women internal)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ATLAS and LEADS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 Gaps in integration of gender in Nepal SDGs monitoring and indicator framework are identified and action plans for addressing the gaps are formulated (to be de-activated in 2021)</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Number of assessment reports produced that identify ‘missing’ indicators and consist of a comprehensive mapping of the data sources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Assessment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1.2.1B:  </w:t>
            </w:r>
            <w:r>
              <w:rPr>
                <w:rFonts w:ascii="[FontFamily: Name=Calibri]" w:hAnsi="[FontFamily: Name=Calibri]" w:cs="[FontFamily: Name=Calibri]" w:eastAsia="[FontFamily: Name=Calibri]"/>
                <w:sz w:val="18"/>
                <w:szCs w:val="18"/>
              </w:rPr>
              <w:t>Number of action plans that address gender data gaps prepared and agreed with respective government agencies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Assessment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1.2.1C:  </w:t>
            </w:r>
            <w:r>
              <w:rPr>
                <w:rFonts w:ascii="[FontFamily: Name=Calibri]" w:hAnsi="[FontFamily: Name=Calibri]" w:cs="[FontFamily: Name=Calibri]" w:eastAsia="[FontFamily: Name=Calibri]"/>
                <w:sz w:val="18"/>
                <w:szCs w:val="18"/>
              </w:rPr>
              <w:t>Percentage of gender-related indicators revised and adopted and as agreed in action plans (federal).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will be based on the mapping of gender-related SDG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from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24,337.00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47,759.00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72,914.00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 Enabling legal frameworks, institutional arrangements, adequate resources, and monitoring mechanisms for gender statistics are in place: national statistical system (to be deactivated in 2021)</w:t>
            </w:r>
          </w:p>
        </w:tc>
        <w:tc>
          <w:tcPr>
            <w:tcW w:w="5000" w:type="dxa"/>
          </w:tcPr>
          <w:p>
            <w:pPr/>
            <w:r>
              <w:rPr>
                <w:b/>
                <w:rFonts w:ascii="[FontFamily: Name=Calibri]" w:hAnsi="[FontFamily: Name=Calibri]" w:cs="[FontFamily: Name=Calibri]" w:eastAsia="[FontFamily: Name=Calibri]"/>
                <w:sz w:val="18"/>
                <w:szCs w:val="18"/>
              </w:rPr>
              <w:t xml:space="preserve">Indicator 1.2.2A:  </w:t>
            </w:r>
            <w:r>
              <w:rPr>
                <w:rFonts w:ascii="[FontFamily: Name=Calibri]" w:hAnsi="[FontFamily: Name=Calibri]" w:cs="[FontFamily: Name=Calibri]" w:eastAsia="[FontFamily: Name=Calibri]"/>
                <w:sz w:val="18"/>
                <w:szCs w:val="18"/>
              </w:rPr>
              <w:t>Existence of a draft advocacy note on the integration of gender statistics into the Statistics Act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Advocacy note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1.2.2C:  </w:t>
            </w:r>
            <w:r>
              <w:rPr>
                <w:rFonts w:ascii="[FontFamily: Name=Calibri]" w:hAnsi="[FontFamily: Name=Calibri]" w:cs="[FontFamily: Name=Calibri]" w:eastAsia="[FontFamily: Name=Calibri]"/>
                <w:sz w:val="18"/>
                <w:szCs w:val="18"/>
              </w:rPr>
              <w:t>Recommendation(s) for coordination structure(s) at federal level are submitted by government partner(s) to relevant authority/authorities.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from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1.2.2D:  </w:t>
            </w:r>
            <w:r>
              <w:rPr>
                <w:rFonts w:ascii="[FontFamily: Name=Calibri]" w:hAnsi="[FontFamily: Name=Calibri]" w:cs="[FontFamily: Name=Calibri]" w:eastAsia="[FontFamily: Name=Calibri]"/>
                <w:sz w:val="18"/>
                <w:szCs w:val="18"/>
              </w:rPr>
              <w:t>Recommendation(s) for establishment and operationalization of gender statistics technical unit(s) developed and submitted to CBS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Monitoring of charter of demands to continue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from government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 Quality, comparable and regular gender statistics are available to address national data gaps and meet policy and reporting commitments under the SDGs, CEDAW and Beijing Platform for Action (to be de-activated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1.3A:  </w:t>
            </w:r>
            <w:r>
              <w:rPr>
                <w:rFonts w:ascii="[FontFamily: Name=Calibri]" w:hAnsi="[FontFamily: Name=Calibri]" w:cs="[FontFamily: Name=Calibri]" w:eastAsia="[FontFamily: Name=Calibri]"/>
                <w:sz w:val="18"/>
                <w:szCs w:val="18"/>
              </w:rPr>
              <w:t>Percentage of national minimum core set of indicators produced and published in the previous 5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SDG Status and Road map published by National Planning Commission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1.3B:  </w:t>
            </w:r>
            <w:r>
              <w:rPr>
                <w:rFonts w:ascii="[FontFamily: Name=Calibri]" w:hAnsi="[FontFamily: Name=Calibri]" w:cs="[FontFamily: Name=Calibri]" w:eastAsia="[FontFamily: Name=Calibri]"/>
                <w:sz w:val="18"/>
                <w:szCs w:val="18"/>
              </w:rPr>
              <w:t>Number of data producers with strengthened capacities in the collection, analysis, dissemination and use of gender statistics, including in improving Tier II and Tier III gender-related SDGs indicators, with UN-Women’s support (SP indicator 6.4a)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from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 Capacity of the National Statistical System (NSS) strengthened to compile Tier I and Tier II indicators in the minimum set and SDGs (to be deactivated in 2021)</w:t>
            </w:r>
          </w:p>
        </w:tc>
        <w:tc>
          <w:tcPr>
            <w:tcW w:w="5000" w:type="dxa"/>
          </w:tcPr>
          <w:p>
            <w:pPr/>
            <w:r>
              <w:rPr>
                <w:b/>
                <w:rFonts w:ascii="[FontFamily: Name=Calibri]" w:hAnsi="[FontFamily: Name=Calibri]" w:cs="[FontFamily: Name=Calibri]" w:eastAsia="[FontFamily: Name=Calibri]"/>
                <w:sz w:val="18"/>
                <w:szCs w:val="18"/>
              </w:rPr>
              <w:t xml:space="preserve">Indicator 1.3.1A:  </w:t>
            </w:r>
            <w:r>
              <w:rPr>
                <w:rFonts w:ascii="[FontFamily: Name=Calibri]" w:hAnsi="[FontFamily: Name=Calibri]" w:cs="[FontFamily: Name=Calibri]" w:eastAsia="[FontFamily: Name=Calibri]"/>
                <w:sz w:val="18"/>
                <w:szCs w:val="18"/>
              </w:rPr>
              <w:t>SDG gender-related Tier I/II indicators are produced by reprocessing existing data (including all relevant levels of disaggregation).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from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1.3.1B:  </w:t>
            </w:r>
            <w:r>
              <w:rPr>
                <w:rFonts w:ascii="[FontFamily: Name=Calibri]" w:hAnsi="[FontFamily: Name=Calibri]" w:cs="[FontFamily: Name=Calibri]" w:eastAsia="[FontFamily: Name=Calibri]"/>
                <w:sz w:val="18"/>
                <w:szCs w:val="18"/>
              </w:rPr>
              <w:t>Number of UN Women supported trainings for data producers in the collection, analysis, dissemination and use of gender statistics.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from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1.3.1C:  </w:t>
            </w:r>
            <w:r>
              <w:rPr>
                <w:rFonts w:ascii="[FontFamily: Name=Calibri]" w:hAnsi="[FontFamily: Name=Calibri]" w:cs="[FontFamily: Name=Calibri]" w:eastAsia="[FontFamily: Name=Calibri]"/>
                <w:sz w:val="18"/>
                <w:szCs w:val="18"/>
              </w:rPr>
              <w:t>Conducted and/or analysed an existing (recent, less than 5 years), a) Time use survey, and/or b) violence against women prevalence survey, and/or c) other specialized survey.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Survey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1.3.1D:  </w:t>
            </w:r>
            <w:r>
              <w:rPr>
                <w:rFonts w:ascii="[FontFamily: Name=Calibri]" w:hAnsi="[FontFamily: Name=Calibri]" w:cs="[FontFamily: Name=Calibri]" w:eastAsia="[FontFamily: Name=Calibri]"/>
                <w:sz w:val="18"/>
                <w:szCs w:val="18"/>
              </w:rPr>
              <w:t>Number of advocacy materials (Radio/TV announcements, print media) developed and published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CBS Report on Census preparation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118,096.00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769,849.00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889,798.00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 Gender statistics are accessible to all users (including governments, civil society, academia and the private sector) and can be analysed to inform research, advocacy, policies and programmes, and promote accountability (to be de-activated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1.4B:  </w:t>
            </w:r>
            <w:r>
              <w:rPr>
                <w:rFonts w:ascii="[FontFamily: Name=Calibri]" w:hAnsi="[FontFamily: Name=Calibri]" w:cs="[FontFamily: Name=Calibri]" w:eastAsia="[FontFamily: Name=Calibri]"/>
                <w:sz w:val="18"/>
                <w:szCs w:val="18"/>
              </w:rPr>
              <w:t>User-producer dialogue mechanism to increase quality and increase access and use of gender statistics institutionalized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from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1.4C:  </w:t>
            </w:r>
            <w:r>
              <w:rPr>
                <w:rFonts w:ascii="[FontFamily: Name=Calibri]" w:hAnsi="[FontFamily: Name=Calibri]" w:cs="[FontFamily: Name=Calibri]" w:eastAsia="[FontFamily: Name=Calibri]"/>
                <w:sz w:val="18"/>
                <w:szCs w:val="18"/>
              </w:rPr>
              <w:t>Number of data users with strengthened capacities in the collection, analysis, dissemination and use of gender statistics, including in improving Tier II and Tier III gender-related SDGs indicators, with UN-Women’s support (SP indicator 6.4b)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from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 Increased dissemination of data at national and subnational (provincial and local) levels to all relevant stakeholders (to be de-activated in 2021)</w:t>
            </w:r>
          </w:p>
        </w:tc>
        <w:tc>
          <w:tcPr>
            <w:tcW w:w="5000" w:type="dxa"/>
          </w:tcPr>
          <w:p>
            <w:pPr/>
            <w:r>
              <w:rPr>
                <w:b/>
                <w:rFonts w:ascii="[FontFamily: Name=Calibri]" w:hAnsi="[FontFamily: Name=Calibri]" w:cs="[FontFamily: Name=Calibri]" w:eastAsia="[FontFamily: Name=Calibri]"/>
                <w:sz w:val="18"/>
                <w:szCs w:val="18"/>
              </w:rPr>
              <w:t xml:space="preserve">Indicator 1.4.1C:  </w:t>
            </w:r>
            <w:r>
              <w:rPr>
                <w:rFonts w:ascii="[FontFamily: Name=Calibri]" w:hAnsi="[FontFamily: Name=Calibri]" w:cs="[FontFamily: Name=Calibri]" w:eastAsia="[FontFamily: Name=Calibri]"/>
                <w:sz w:val="18"/>
                <w:szCs w:val="18"/>
              </w:rPr>
              <w:t>Number of knowledge products (policy research, policy briefs, leaflets on gender indicators, etc.) developed and published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Knowledge products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17,370.00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61,355.00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82,093.00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 User-producer dialogues institutionalized to increase accessibility, quality and demand for gender statistics: national statistical system (to be de-activated in 2021)</w:t>
            </w:r>
          </w:p>
        </w:tc>
        <w:tc>
          <w:tcPr>
            <w:tcW w:w="5000" w:type="dxa"/>
          </w:tcPr>
          <w:p>
            <w:pPr/>
            <w:r>
              <w:rPr>
                <w:b/>
                <w:rFonts w:ascii="[FontFamily: Name=Calibri]" w:hAnsi="[FontFamily: Name=Calibri]" w:cs="[FontFamily: Name=Calibri]" w:eastAsia="[FontFamily: Name=Calibri]"/>
                <w:sz w:val="18"/>
                <w:szCs w:val="18"/>
              </w:rPr>
              <w:t xml:space="preserve">Indicator 1.4.2A:  </w:t>
            </w:r>
            <w:r>
              <w:rPr>
                <w:rFonts w:ascii="[FontFamily: Name=Calibri]" w:hAnsi="[FontFamily: Name=Calibri]" w:cs="[FontFamily: Name=Calibri]" w:eastAsia="[FontFamily: Name=Calibri]"/>
                <w:sz w:val="18"/>
                <w:szCs w:val="18"/>
              </w:rPr>
              <w:t>Number of national level user-producer dialogue meetings for surveys institutionalized and applied to VAW survey, time-use survey, census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from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1.4.2D:  </w:t>
            </w:r>
            <w:r>
              <w:rPr>
                <w:rFonts w:ascii="[FontFamily: Name=Calibri]" w:hAnsi="[FontFamily: Name=Calibri]" w:cs="[FontFamily: Name=Calibri]" w:eastAsia="[FontFamily: Name=Calibri]"/>
                <w:sz w:val="18"/>
                <w:szCs w:val="18"/>
              </w:rPr>
              <w:t>Number of participants in user-producer dialogues at Federal level (with academia, CSO, government, development actors in attendance)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from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 Capacity of civil society, government and other actors to use and analyse gender statistics to inform decision-making is strengthened (to be de-activated in 2021)</w:t>
            </w:r>
          </w:p>
        </w:tc>
        <w:tc>
          <w:tcPr>
            <w:tcW w:w="5000" w:type="dxa"/>
          </w:tcPr>
          <w:p>
            <w:pPr/>
            <w:r>
              <w:rPr>
                <w:b/>
                <w:rFonts w:ascii="[FontFamily: Name=Calibri]" w:hAnsi="[FontFamily: Name=Calibri]" w:cs="[FontFamily: Name=Calibri]" w:eastAsia="[FontFamily: Name=Calibri]"/>
                <w:sz w:val="18"/>
                <w:szCs w:val="18"/>
              </w:rPr>
              <w:t xml:space="preserve">Indicator 1.4.3A:  </w:t>
            </w:r>
            <w:r>
              <w:rPr>
                <w:rFonts w:ascii="[FontFamily: Name=Calibri]" w:hAnsi="[FontFamily: Name=Calibri]" w:cs="[FontFamily: Name=Calibri]" w:eastAsia="[FontFamily: Name=Calibri]"/>
                <w:sz w:val="18"/>
                <w:szCs w:val="18"/>
              </w:rPr>
              <w:t>Number of UN Women supported training for data users in the collection, analysis, dissemination and use of gender statistics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Knowledge products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1.4.3B:  </w:t>
            </w:r>
            <w:r>
              <w:rPr>
                <w:rFonts w:ascii="[FontFamily: Name=Calibri]" w:hAnsi="[FontFamily: Name=Calibri]" w:cs="[FontFamily: Name=Calibri]" w:eastAsia="[FontFamily: Name=Calibri]"/>
                <w:sz w:val="18"/>
                <w:szCs w:val="18"/>
              </w:rPr>
              <w:t>Number of knowledge products (co)authored by data users trained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Knowledge products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10,456.00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123,600.00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140,456.00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224,550.00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1,450,175.00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1,104,550.00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5,370,175.00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61,137.00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47,959.00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109,914.00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118,096.00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769,849.00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889,798.00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1.4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13,824.00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23,770.00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184,955.00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222,549.00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224,550.00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1,466,670.00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1,363,003.00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2,132,763.00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1,104,550.00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6,592,436.00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Impact 2 : SP Outcome 3 : Women have income security, decent work and economic autonomy</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1: By 2022, impoverished, especially economically vulnerable, unemployed and under-employed and vulnerable people have increased access to sustainable livelihoods, safe and decent employment and income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3:    By 2022, environmental management, sustainable recovery and reconstruction, and resilience to climate change and disaster are strengthened at all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Vulnerable women’s groups in Nepal have income generation opportunities and are resilient to climate change and disasters that affect their livelihoods by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Percentage ownership of property (house) and land by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Population and Housing Census, CBS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Wage equality for similar work (to measure gender pay gap)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0.72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0.72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0.62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Ratio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SDGs Annual report by the Government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2.1C:  </w:t>
            </w:r>
            <w:r>
              <w:rPr>
                <w:rFonts w:ascii="[FontFamily: Name=Calibri]" w:hAnsi="[FontFamily: Name=Calibri]" w:cs="[FontFamily: Name=Calibri]" w:eastAsia="[FontFamily: Name=Calibri]"/>
                <w:sz w:val="18"/>
                <w:szCs w:val="18"/>
              </w:rPr>
              <w:t>Average hours spent in domestic work by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Hours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Hours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Hours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Hours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Hours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SDGs Annual report by the Government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Planet 50:50 Nepal created by engaging men, interfaith leaders, vulnerable groups and youth networks by addressing adverse social and economic norms, structural barriers, and gender based discrimination</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hours (weekly) spent on unpaid care and domestic work by women in households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Hours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Hours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Hours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Hours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10.14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Hours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Perception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Percentage of people (in UN Women project areas) reporting that they no longer practice at least three discriminatory gender practices (Chaupadi, dowry, child marriage, son preference, mobility restrictions)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Perception survey planned for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Perception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2.1.1C:  </w:t>
            </w:r>
            <w:r>
              <w:rPr>
                <w:rFonts w:ascii="[FontFamily: Name=Calibri]" w:hAnsi="[FontFamily: Name=Calibri]" w:cs="[FontFamily: Name=Calibri]" w:eastAsia="[FontFamily: Name=Calibri]"/>
                <w:sz w:val="18"/>
                <w:szCs w:val="18"/>
              </w:rPr>
              <w:t>Number of community and interfaith leaders, youth networks and community-based organisations mobilized against harmful social norms and practices in UN Women programme sites for Planet 50: 50 Nepal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2500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2500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3500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3500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4000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4000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5000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5000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5000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5000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reports and Annual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2.1.1D:  </w:t>
            </w:r>
            <w:r>
              <w:rPr>
                <w:rFonts w:ascii="[FontFamily: Name=Calibri]" w:hAnsi="[FontFamily: Name=Calibri]" w:cs="[FontFamily: Name=Calibri]" w:eastAsia="[FontFamily: Name=Calibri]"/>
                <w:sz w:val="18"/>
                <w:szCs w:val="18"/>
              </w:rPr>
              <w:t>Existence of feminist group of economists to support the MoWCSC with gendered analysis on the socio-economic impact of COVID-19 as part of early recovery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indicator in light of the COVID-19 addendum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Report from Partner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2.1.1E:  </w:t>
            </w:r>
            <w:r>
              <w:rPr>
                <w:rFonts w:ascii="[FontFamily: Name=Calibri]" w:hAnsi="[FontFamily: Name=Calibri]" w:cs="[FontFamily: Name=Calibri]" w:eastAsia="[FontFamily: Name=Calibri]"/>
                <w:sz w:val="18"/>
                <w:szCs w:val="18"/>
              </w:rPr>
              <w:t>Number of women from excluded women's group (female headed household and home-based workers) who received comprehensive relief package and livelihood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(600 women (Finland)+ 500 (DFID)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indicator in light of the COVID-19 addendum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Report from Partner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2.1.1F:  </w:t>
            </w:r>
            <w:r>
              <w:rPr>
                <w:rFonts w:ascii="[FontFamily: Name=Calibri]" w:hAnsi="[FontFamily: Name=Calibri]" w:cs="[FontFamily: Name=Calibri]" w:eastAsia="[FontFamily: Name=Calibri]"/>
                <w:sz w:val="18"/>
                <w:szCs w:val="18"/>
              </w:rPr>
              <w:t>Number of story tellers who receive the comprehensive support relief package of cash, in-kind support, access to essential services and reskilling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from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2.1.1G:  </w:t>
            </w:r>
            <w:r>
              <w:rPr>
                <w:rFonts w:ascii="[FontFamily: Name=Calibri]" w:hAnsi="[FontFamily: Name=Calibri]" w:cs="[FontFamily: Name=Calibri]" w:eastAsia="[FontFamily: Name=Calibri]"/>
                <w:sz w:val="18"/>
                <w:szCs w:val="18"/>
              </w:rPr>
              <w:t>Number of peer support self-help groups established amongst the story tellers to support the transition from trauma to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Report from Partner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1,293,246.00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663,129.00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350,700.00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4,056,375.00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Key line ministries and select local governments have increased technical capacity to develop and implement gender responsive macro-economic policies (fiscal and budgetary) and sectoral policies (agriculture, energy, labour, industry and DRR)  to advance implementation of SDG 5 and 8</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gender-responsive economic and sectoral policies that are reviewed, adopted and/or implemented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(New)</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Gender-responsive economic and sectoral policies refers to the policies, laws which incorporates gender responsive provisions in line with international and national normative frameworks e.g. CEDAW, Constitution of Nepal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4 as of 2017 : [a] Foreign Employment Policy was drafted in 2012 with support of UN Women, [b] The National Action Plan [NAP] on Foreign Employment was adopted with support of UN Women in 2015, [c] GESI responsive the Agriculture Development Strategy [ADS] was developed in 2015 and its implementation was piloted in three district in 2016 with support of UN Women, [d] Foreign Employment Act was reviewed with support of UN Women in 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programme/project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Annual and biannual reports of MoAD, MoLE, MoI and MoFALD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98,281.00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239,576.00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1,087,857.00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substantive equality approach to women's economic empowerment tested and adopted in select target sectors [agriculture, energy] for income generation, improved climate resilient livelihoods to address safe migration with vulnerable women's groups</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women benefitting from access to vocational, entrepreneurial and leadership development opportunities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2980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was calculated as AWEE [entrepreneurship] - 2,000, AWEE [Leadership] - 180, FWW - 300, Education JP/ARE - 500; Total 2,980.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programme/project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2.1.3B:  </w:t>
            </w:r>
            <w:r>
              <w:rPr>
                <w:rFonts w:ascii="[FontFamily: Name=Calibri]" w:hAnsi="[FontFamily: Name=Calibri]" w:cs="[FontFamily: Name=Calibri]" w:eastAsia="[FontFamily: Name=Calibri]"/>
                <w:sz w:val="18"/>
                <w:szCs w:val="18"/>
              </w:rPr>
              <w:t>Number of women from excluded women's groups having received technical assistance from UN Women to access disaster and climate smart tools, technologies and information and vital services (access to finance/energy) in UN Women project districts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programme/project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49,750.00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893,809.00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674,134.00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249,750.00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3,467,943.00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125,450.00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2,285,336.00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1,576,839.00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645,450.00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8,612,175.00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125,450.00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2,285,336.00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1,576,839.00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645,450.00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8,612,175.00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2269bf97cd0f4390" Type="http://schemas.openxmlformats.org/officeDocument/2006/relationships/image" Target="/word/media/72cfd9df-187c-4c0a-9654-74c81111ba1d.jpeg"/><Relationship Id="R85982d120c4a4b67" Type="http://schemas.openxmlformats.org/officeDocument/2006/relationships/footer" Target="/word/footer2.xml"/><Relationship Id="rId3" Type="http://schemas.openxmlformats.org/officeDocument/2006/relationships/customXml" Target="../customXml/item3.xml"/><Relationship Id="R0bba817297c044a2" Type="http://schemas.openxmlformats.org/officeDocument/2006/relationships/footer" Target="/word/footer1.xml"/><Relationship Id="Redeefa69ed204ba9" Type="http://schemas.openxmlformats.org/officeDocument/2006/relationships/styles" Target="/word/styles.xml"/><Relationship Id="rId2" Type="http://schemas.openxmlformats.org/officeDocument/2006/relationships/customXml" Target="../customXml/item2.xml"/><Relationship Id="R67e678fd5ae0483d" Type="http://schemas.openxmlformats.org/officeDocument/2006/relationships/image" Target="/word/media/45e46b93-1ba8-453f-aaa6-af06c17c23a0.jpeg"/><Relationship Id="rId1" Type="http://schemas.openxmlformats.org/officeDocument/2006/relationships/customXml" Target="../customXml/item1.xml"/><Relationship Id="Rd811f55094fe4eeb" Type="http://schemas.openxmlformats.org/officeDocument/2006/relationships/numbering" Target="/word/numbering.xml"/><Relationship Id="Re034ced29d3e41bc" Type="http://schemas.openxmlformats.org/officeDocument/2006/relationships/footer" Target="/word/footer3.xml"/><Relationship Id="R8d0801adbe4f4faa" Type="http://schemas.openxmlformats.org/officeDocument/2006/relationships/settings" Target="/word/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7C279585-224C-441F-84E6-B25ED5E2ED84}"/>
</file>

<file path=customXml/itemProps2.xml><?xml version="1.0" encoding="utf-8"?>
<ds:datastoreItem xmlns:ds="http://schemas.openxmlformats.org/officeDocument/2006/customXml" ds:itemID="{6975827C-13A1-488E-8F1D-546B1165B563}"/>
</file>

<file path=customXml/itemProps3.xml><?xml version="1.0" encoding="utf-8"?>
<ds:datastoreItem xmlns:ds="http://schemas.openxmlformats.org/officeDocument/2006/customXml" ds:itemID="{5A6D1062-E8F0-4973-873A-327A8F4BDC7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