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004c4524b0764d0e"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97a52787ac5f423f"/>
      <w:footerReference w:type="even" r:id="R32ee05525e3a4abf"/>
      <w:footerReference w:type="first" r:id="R83365d630dbe480c"/>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fc1379910e438d"/>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ca6574685b4bfb"/>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Pakistan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Impact 1: National and local stakeholders ensure an enabling environment is in place to translate, monitor and report on implementation of GEWE commitments, aligned to global norms, policies and standards (aligned to SP Outcome 1)</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UNDAF/PSDF (Pakistan Sustainable Development Framework, OP III 2018-2022) Outcome 8 on ‘Gender Equality and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Outcome 1.1: Mechanisms supported by UN Women are in place to assess and report on the progress of the Government of Pakistan’s international Gender Equality and the Empowerment of Women (GEWE) commitments (aligned to SP Output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PCO SN Indicator 1.1A: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of reviews and appraisals that include support and contribution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6th Periodic confidential CEDAW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25-year review and appraisal of the Beijing Declaration and Platform for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6th Periodic confidential CEDAW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6th Periodic confidential CEDAW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UPR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UNCT Confidential CEDAW Report submitted (2012); UN Women supported the Ministry of Human Rights (MoHR) to finalize the 5th CEDAW Periodic Report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Pakistan Annual Report 2012 http://www.un.org.pk/wp-content/uploads/2015/08/One-UN-Prog-Annual-Re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officials and stakeholders are able to implement, assess and/or report on the progress of key national/local and normative frameworks towards achieving Gender Equality and the Empowerment of Women (GEWE)</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Indicators 6.1.1A: # of government institutions (MoHR at the federal level and Government of Sindh at provincial level) engaged to advocate for and operationalize disability laws/policies to address sigma and discrimination against women with disabilities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 Reports on government's GEWE commitments for CEDAW, CRPD and the 2030 Development Agenda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(ii) National 25-year review of Beijing Platform for Action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(iii) Contribution to the UNCTs periodic confidential CEDAW report (due 2021)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(iv)Collaboration with  government and CSOs to raise awareness through the multigenerational campaign (Generation Equality, launched by UN Women) to reinvigorate the women’s rights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 Reports on government's GEWE commitments for CEDAW, CRPD and the 2030 Development Agenda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(ii) Contribution to 6th CEDAW Report and  UPR Observation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(iii) Contribution to the UNCTs periodic confidential CEDAW report (due 2021)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(iv)Collaboration with  government and CSOs to raise awareness through the multigenerational campaign (Generation Equality, launched by UN Women) to reinvigorate the women’s rights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 UNCT Confidential CEDAW Report submitted (2019)</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(ii) Contributed to Pakistan's Voluntary National Review Report (VNR) consultation organized by Chief SDG Unit of Ministry of Planning, Development &amp; Reform. The report was presented at 2019 HLPF on SDGs.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(iii)UN Women financially supported the participation of Chairperson NCSW to CSW63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(iv) UN Women provided technical support to MoHR in preparing the  National Bejing +25 Review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Indicators 6.1.1B: # of localized diagnostic tools developed to understand stigma and discrimination against women and girls with disabilities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Diagnostic tool shared global consultant is contextualized to Pakistan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6.1.1C:  </w:t>
            </w:r>
            <w:r>
              <w:rPr>
                <w:rFonts w:ascii="[FontFamily: Name=Calibri]" w:hAnsi="[FontFamily: Name=Calibri]" w:cs="[FontFamily: Name=Calibri]" w:eastAsia="[FontFamily: Name=Calibri]"/>
                <w:sz w:val="18"/>
                <w:szCs w:val="18"/>
              </w:rPr>
              <w:t>Indicators 6.1.1C: # of stakeholders (civil society organizations, development partners, government ministries and other national stakeholders) sensitized to address stigma and discrimination against women and girls with disabilities and use the diagnostic tool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Event reports, UN Women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6.1.1D:  </w:t>
            </w:r>
            <w:r>
              <w:rPr>
                <w:rFonts w:ascii="[FontFamily: Name=Calibri]" w:hAnsi="[FontFamily: Name=Calibri]" w:cs="[FontFamily: Name=Calibri]" w:eastAsia="[FontFamily: Name=Calibri]"/>
                <w:sz w:val="18"/>
                <w:szCs w:val="18"/>
              </w:rPr>
              <w:t xml:space="preserve">Indicator 6.1.1D:  PCO SN Indicator 1.1.1D: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of government institutions and stakeholders supported technically and financially by UN Women to develop, review and/or implement policies, plans and strategies on Gender Equality/ Human Rights with focus on ending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will support: (i) MoHR; (ii) National and Provincial Commissions on the Status of Women (4); (iii) Federal and Provincial Women Parliamentary Caucuses (3); (iv) Provincial EVAWG Alliances; and (4) Provincial Home Departments and related institutions (2); Federal and Provincial Ombudspersons for Protection against harassment at the workplace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supported: (i) MoHR; (ii) National and Provincial Commissions on the Status of Women (4); (iii) Federal and Provincial Women Parliamentary Caucuses (3); (iv) Provincial EVAWG Alliances (4), civil society, academia, religious leaders, media and journalists; and (v) Offices of Ombudspersons for Protection against harassment at the workplace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6.1.1E:  </w:t>
            </w:r>
            <w:r>
              <w:rPr>
                <w:rFonts w:ascii="[FontFamily: Name=Calibri]" w:hAnsi="[FontFamily: Name=Calibri]" w:cs="[FontFamily: Name=Calibri]" w:eastAsia="[FontFamily: Name=Calibri]"/>
                <w:sz w:val="18"/>
                <w:szCs w:val="18"/>
              </w:rPr>
              <w:t xml:space="preserve">Indicator 6.1.1E:  PCO SN Indicator 1.1.1E: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of national and local reports, surveys and studies on GEWE thematic areas developed with technical and financial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 National Report on the Status of Women; (ii) Baseline Study on the Economic Empowerment of Women in Distress; (iii) Survivors’ Journey Mapping (Punjab); (iv) 2 Policy Briefs on Child Marriage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 Document best practices of WEP Signatories on GE and how to operationalise WEP priorities; (ii) Conduct Country GE profile to provide a snapshot to give policymakers and other users an update on the development pertinent to gender equality; (iii) Contribute to the study by UN partners on overall ADR assessment to be undertaken at the start of the project to provide recommendations for ensuring consistence with international obligations. (EU); (iv) Commission KAP Survey on legal literacy/ services in KP and Balochistan (EU); (v) Gender and Social Inclusion Strategy for Rule of Law Joint Programme (EU)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1,262,219.00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1,262,219.00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6.3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Legal frameworks and policies to advance women’s leadership and participation in decision making and in humanitarian action and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6.3.1 Women at national and provincial levels fully participate, lead and engage in inclusive governance, social cohesion processes and economic empowerment</w:t>
            </w:r>
          </w:p>
        </w:tc>
        <w:tc>
          <w:tcPr>
            <w:tcW w:w="5000" w:type="dxa"/>
          </w:tcPr>
          <w:p>
            <w:pPr/>
            <w:r>
              <w:rPr>
                <w:b/>
                <w:rFonts w:ascii="[FontFamily: Name=Calibri]" w:hAnsi="[FontFamily: Name=Calibri]" w:cs="[FontFamily: Name=Calibri]" w:eastAsia="[FontFamily: Name=Calibri]"/>
                <w:sz w:val="18"/>
                <w:szCs w:val="18"/>
              </w:rPr>
              <w:t xml:space="preserve">Indicator 6.3.1A:  </w:t>
            </w:r>
            <w:r>
              <w:rPr>
                <w:rFonts w:ascii="[FontFamily: Name=Calibri]" w:hAnsi="[FontFamily: Name=Calibri]" w:cs="[FontFamily: Name=Calibri]" w:eastAsia="[FontFamily: Name=Calibri]"/>
                <w:sz w:val="18"/>
                <w:szCs w:val="18"/>
              </w:rPr>
              <w:t>Indicator 6.2.1 A: # of studies undertaken to review various WEE models in the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Scoping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1,262,219.00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1,262,219.00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1,262,219.00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1,262,219.00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employment/decent work and economic opportunities, including WEP</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UNDAF/PSDF (Pakistan Sustainable Development Framework, OP III 2018-2022) Outcome 8 on ‘Gender Equality and Rights’, Outcome 2 on Decent Work  and Outcome 10 on Social Protection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Outcome 3.1: Policies and plans are adopted and implemented to enhance the socio-economic empowerment of women (including from marginalized groups and home-based workers)  (aligned to SP Output 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PCO SN Indicator 3.1.1A: # of government institutions and stakeholders' organisations technically and financially supported by UN Women to develop policies and implementation plans that create decent work for informal and home-based women workers (including women from marginalized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Implementation plan of GEWE policies in Sindh and Punjab, Sindh, Balochistan and KP. Formulation and implementation of Transgender Policy in Balochistan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 Support approval of HBW Policy and ii) supporting approval of HBW Law in Balochistan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Development Department (Punjab &amp; Sindh), Labour and Human Resource Department (LHRD) - Punjab, Sindh), Ministry of Commerce, MOHR and other UN Agencies.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WDD Balochistan and KP, Labour and Human Resource Dept Punnjab, KP and Sindh, IPs (CERD, HNP and KCF). Supported government drafting of Rules of Business for Disability act in Sindh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WPC KP report, 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institutions and key stakeholders are able to draft, adopt and/or implement policies and plans for the socio-economic empowerment of women (including marginalized groups and home-based workers)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PCO SN Indicator 3.1.1A: # of government institutions and stakeholders' organisations technically and financially supported by UN Women to develop policies and implementation plans that create decent work for informal and home-based women workers (including women from marginalized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Development Department (Balochistan and KP), Labour and Human Resource Department (LHRD) - Punjab, Baluchistan, KP and Sindh), (IPs for the RNE project at least 3 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 Support approval of HBW Policy and ii) supporting approval of HBW Law in Balochistan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Development Department (Punjab &amp; Sindh), Labour and Human Resource Department (LHRD) - Punjab, Sindh), Ministry of Commerce, MOHR and other UN Agencies.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WPC supported to draft the first HBW Policy for KP, LHRD Sindh supported to develop HBW Law and implementation plans, Labour Depts in KP and Balochistan, Home Net Pakistan and CERD supported in developing the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WPC KP report, 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27,750.00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320,962.00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27,750.00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320,962.00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Outcome 3.2: Women benefit from decent work, income security and socio-economic development (aligned to SP Output 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PCO SN Indicator 3.2.1A: # of women with strengthened technical capacities and skills to participate in the economy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 skills development; (ii) income generation opportunities (formal and entrepreneurship); (iii) social security; (iv) micro-finance; and/or (v) gender-responsive work policies and principles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HBWS benefited from life skills, entrepreneurial skills, vocational training and linkage to the market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HBWS benefited from skills enhancement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women benefited from skills development under RNE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RP reports, Project Evaluation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capacities and skills are enhanced to enable them to participate in the economy, including as entrepreneurs, and access social protection services and financial services for improved and sustainable livelihoods</w:t>
            </w:r>
          </w:p>
        </w:tc>
        <w:tc>
          <w:tcPr>
            <w:tcW w:w="5000" w:type="dxa"/>
          </w:tcPr>
          <w:p>
            <w:pP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PCO SN Indicator 3.2.1A: # of women with strengthened technical capacities and skills to participate in the economy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HBWS benefited from skills enhancement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HBWS benefited from life skills, entrepreneurial skills, vocational training and linkage to the market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HBWS benefited from life skills, entrepreneurial skills, vocational training and linkage to the market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6700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benefited from skills development under RNE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IP Reports, Project Evaluation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2.2.1D:  </w:t>
            </w:r>
            <w:r>
              <w:rPr>
                <w:rFonts w:ascii="[FontFamily: Name=Calibri]" w:hAnsi="[FontFamily: Name=Calibri]" w:cs="[FontFamily: Name=Calibri]" w:eastAsia="[FontFamily: Name=Calibri]"/>
                <w:sz w:val="18"/>
                <w:szCs w:val="18"/>
              </w:rPr>
              <w:t>PCO SN Indicator 3.2.1C: # of IEC material pertinent to HBWs and services developed and disseminated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Data Analysis report, IEC Material related to HBWs, Human Centric Stories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Data Analysis report, IEC Material related to HBWs, Human Centric Stories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IEC material related HBWs, human centric stories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69 WEP Signatories; Gender-responsive policy development for 07 companies supported by UN Women, capacity Development of 15 companies to engender their policies. Support provided to both MNCs and local companies.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2.2.1E:  </w:t>
            </w:r>
            <w:r>
              <w:rPr>
                <w:rFonts w:ascii="[FontFamily: Name=Calibri]" w:hAnsi="[FontFamily: Name=Calibri]" w:cs="[FontFamily: Name=Calibri]" w:eastAsia="[FontFamily: Name=Calibri]"/>
                <w:sz w:val="18"/>
                <w:szCs w:val="18"/>
              </w:rPr>
              <w:t>PCO SN Indicator 3.2.1D: # of private companies becoming WEP signatories (MNCs and Local companies)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MNCs and local companies signs and operationalise WEP principles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MNCs become signatory to and operationalize 1 or 2 WEP standards especially related to measures for curbing harassment.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MNCs and local companies sign and operationalize WEPs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69 WEP signatories; gender-responsive policy development for 07 companies supported by UN Women, capacity developed of 15 companies to engender their policies. support provided to both MNCs and local companies.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IP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2.2.1J:  </w:t>
            </w:r>
            <w:r>
              <w:rPr>
                <w:rFonts w:ascii="[FontFamily: Name=Calibri]" w:hAnsi="[FontFamily: Name=Calibri]" w:cs="[FontFamily: Name=Calibri]" w:eastAsia="[FontFamily: Name=Calibri]"/>
                <w:sz w:val="18"/>
                <w:szCs w:val="18"/>
              </w:rPr>
              <w:t># of beneficiaries trained on addressing EVAWG issues and barriers to safer workplaces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Training and sensitization for project beneficiaries (working women, men and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1,227,534.00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1,227,534.00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27,750.00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320,962.00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27,750.00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320,962.00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1,227,534.00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1,227,534.00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52,750.00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1,548,496.00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52,750.00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1,548,496.00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Ending VAWG and safe spaces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UNDAF/PSDF (Pakistan Sustainable Development Framework, OP III 2018-2022) Outcome 8 on ‘Gender Equality and Rights’ and Outcome 9 on Governance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Outcome 4.1: Laws, policies and strategies are adopted and implemented to prevent and respond to violence against women and girls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(aligned to SP Output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PCO SN Indicator 4.1A: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of legislations and plans adopted or strengthened addressing VAWG reflecting global guidelines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(i) National Plan of Action on Human Rights; (ii)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National/provincial implementation plan on GBV; (iii) Sindh Acid Crimes Bill (in 2018); (iv) Men Engage Model Programme to prevent 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will continue to support: (i) MoHR; (ii) National and Provincial Commissions on the Status of Women (4); (iii) Federal and Provincial Women Parliamentary Caucuses (3); (iv) Provincial EVAWG Alliances (4), civil society, academia, religious leaders, media and journalists; and (v) Offices of Ombudspersons for Protection against harassment at the workplace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 to be reviewed (police, prosecution, prisoners and probation in KPK and Balochistan; Levies in Balochistan only)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 to be implemented (VAW law at Federal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 draft National Guidelines on GBV exists; Anti-honour killing and Anti- rape bills passed in 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Websites of Ministry of Human Rights and National Commission on the Status of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Output 4.1.1: Government institutions and stakeholder organizations are supported technically and financially by UN Women to develop, review and/ or implement laws, policies, plans and strategies on Gender Equality/ Human Rights  with focus on ending VAWG</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PCO SN Indicator 4.1.1A: # of government institutions and other partners supported technically and financially by UN Women to enhance service delivery mechanisms and structures for preventing and responding to VAWG, including capacity development of justice sector stakeholders service providers, in line with Essential Services Package guidelines.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supported: (i) MoHR; (ii) Provincial WDDs; (4) (iii) National and Provincial Commissions on the Status of Women (5); (iv) Federal and Provincial Ministries of Law (5); (v) Federal and Provincial Women Parliamentary Caucuses (2); (vi) Provincial EVAWG Alliances (4); Offices of Ombudspersons for Protection against harassment at the workplace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will continue to support: (i) MoHR; (ii) National and Provincial Commissions on the Status of Women (4); (iii) Federal and Provincial Women Parliamentary Caucuses (3); (iv) Provincial EVAWG Alliances (4), civil society, academia, religious leaders, media and journalists; and (v) Offices of Ombudspersons for Protection against harassment at the workplace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will support Social Welfare Departments (4), Women Development Departments (3), Ministry of Human Rights (1), Law Enforcement Agencies (5) &amp; Justice Sector Institutions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supported: (i) MoHR; (ii) National and Provincial Commissions on the Status of Women (3); (iii) Federal and Provincial Women Parliamentary Caucuses (2); (iv) Provincial EVAWG Alliances (4); and (v) Offices of Ombudspersons for Protection against harassment at the workplace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PCO SN Indicator 4.1.1C:  # of awareness-raising and communications initiatives localized and disseminated that provide information about women’s rights, GBV, pro-women laws and essential services for survivors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(i) 10 Advocacy events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(ii) 1 Drama serial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(iii) 4 newsletters/ factsheets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Advocacy Events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Global Guidelines have been translated into Urdu,  printed by UN Women Pakistan, and disseminated with multi-sectoral government departments.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Factsheets, Media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151,850.00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1,883,148.00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151,850.00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1,883,148.00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PCO SN Outcome 4.2: Strategies and initiatives for safe and empowering public spaces for women and girls are drafted, adopted and/or implemented, reflecting global guidelines (aligned to SP Output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PCO SN Indicator 4.2A: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of strategies and initiatives drafted, adopted and/or implemented for safe public spaces based on recommendations from the safety audits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 Policy briefs (for Punjab’s WDD and Transport Department) prepared on the basis of the safety audit report and (ii) number of recommendations for the follow-up to be decided in consultation with the government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helplines in KP, Baluchistan and Sindh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First safety audit (commissioned by UN Women) undertaken in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Provincial Government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151,850.00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1,883,148.00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151,850.00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1,883,148.00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151,850.00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1,883,148.00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151,850.00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1,883,148.00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responsive plans and budgets, and access to justice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UNDAF/PSDF (Pakistan Sustainable Development Framework, OP III 2018-2022) Outcome 8 on ‘Gender Equality and Rights’ and Outcome 9 on Governance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Peaceful, cohesive and resilient communities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UNDAF/PSDF (Pakistan Sustainable Development Framework, OP III 2018-2022) Outcome 6 on Resilience and Outcome 7 on Education &amp; Learning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Outcome 5.1: Women and girls contribute to and have greater influence in preventing violent extremism and peace processes (aligned to SP Output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 of gender responsive policies relating to preventing violent extremism (PVE) policies and initiatves that have integrated women peace and security (WPS) priorities developed and/or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National Action Plan on WPS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Cross border initiative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PVE action plan to be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UNCT Joint programme on WPS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Output 5.1.1: Expand and deepen a data-driven evidence base on the drivers of extremist violence and its impact on women and girls</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PCO SN Indicator 5.1.1 A: # of knowledge products developed with the support of UN Women on preventing violent extremism with a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Collaborate with national lead PVE stakeholders and key research institutes to produce and disseminate new research on gendered drivers; these research products will now also cover the impacts and implications of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Gender Analysis of Security Instruments/Policies in Pakustan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Collaborate with national PVE and Gender experts to conduct a scope of study on the dynamics between host and refugee communities in border areas of Pakistan and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Research on PVE “Trends and Drivers of Violent Extremism and its Impact on Women and Girls”  is started in 2019 and will be completed in early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Output 5.1.2 Enhance capacities of women and girls, CSOs and women organisations to understand and effectively respond to the gendered dynamics underpinning violent extremism</w:t>
            </w:r>
          </w:p>
        </w:tc>
        <w:tc>
          <w:tcPr>
            <w:tcW w:w="5000" w:type="dxa"/>
          </w:tcPr>
          <w:p>
            <w:pPr/>
            <w:r>
              <w:rPr>
                <w:b/>
                <w:rFonts w:ascii="[FontFamily: Name=Calibri]" w:hAnsi="[FontFamily: Name=Calibri]" w:cs="[FontFamily: Name=Calibri]" w:eastAsia="[FontFamily: Name=Calibri]"/>
                <w:sz w:val="18"/>
                <w:szCs w:val="18"/>
              </w:rPr>
              <w:t xml:space="preserve">Indicator 4.1.4A:  </w:t>
            </w:r>
            <w:r>
              <w:rPr>
                <w:rFonts w:ascii="[FontFamily: Name=Calibri]" w:hAnsi="[FontFamily: Name=Calibri]" w:cs="[FontFamily: Name=Calibri]" w:eastAsia="[FontFamily: Name=Calibri]"/>
                <w:sz w:val="18"/>
                <w:szCs w:val="18"/>
              </w:rPr>
              <w:t>PCO SN Indicator 5.1.2.1 A: # of National stakeholders, Government staff and community in the intervention areas sensitized on gender and PVE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Two campaigns will be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Two campaigns will be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baseline value available on PVE campaigns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Print and electronic media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4.1.4B:  </w:t>
            </w:r>
            <w:r>
              <w:rPr>
                <w:rFonts w:ascii="[FontFamily: Name=Calibri]" w:hAnsi="[FontFamily: Name=Calibri]" w:cs="[FontFamily: Name=Calibri]" w:eastAsia="[FontFamily: Name=Calibri]"/>
                <w:sz w:val="18"/>
                <w:szCs w:val="18"/>
              </w:rPr>
              <w:t>PCO SN Indicator 5.1.2.1.B:  # of stakeholders including opinion-makers and decision-makers sensitised to promote alternative narrative to prevent and counter-terrorism.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Persons/stakeholders will be  sensitised on PVE and counter-narrative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Persons/stakeholders will be  sensitized on PVE and counter-narrative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large scale socio-cultural event planned to promote alternate narratives and raise awareness on the impact and role of women in violent extremism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baseline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and RP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4.1.4C:  </w:t>
            </w:r>
            <w:r>
              <w:rPr>
                <w:rFonts w:ascii="[FontFamily: Name=Calibri]" w:hAnsi="[FontFamily: Name=Calibri]" w:cs="[FontFamily: Name=Calibri]" w:eastAsia="[FontFamily: Name=Calibri]"/>
                <w:sz w:val="18"/>
                <w:szCs w:val="18"/>
              </w:rPr>
              <w:t>PCO SN Indicator 5.1.2.1.C:  No of  dialogue forums organised to strengthen capacities and understanding of women and local CSOs on gender dimensions of  VE and its impacts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Dialogue forum organised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Dialogue forums organized in target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baseline data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UNW Country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PCO SN Output 5.1.3: Strengthen women and girls' active participation in policy initiatives through awareness raising and trainings to prevent violent extremism and promote social cohesion.</w:t>
            </w:r>
          </w:p>
        </w:tc>
        <w:tc>
          <w:tcPr>
            <w:tcW w:w="5000" w:type="dxa"/>
          </w:tcPr>
          <w:p>
            <w:pPr/>
            <w:r>
              <w:rPr>
                <w:b/>
                <w:rFonts w:ascii="[FontFamily: Name=Calibri]" w:hAnsi="[FontFamily: Name=Calibri]" w:cs="[FontFamily: Name=Calibri]" w:eastAsia="[FontFamily: Name=Calibri]"/>
                <w:sz w:val="18"/>
                <w:szCs w:val="18"/>
              </w:rPr>
              <w:t xml:space="preserve">Indicator 4.1.5A:  </w:t>
            </w:r>
            <w:r>
              <w:rPr>
                <w:rFonts w:ascii="[FontFamily: Name=Calibri]" w:hAnsi="[FontFamily: Name=Calibri]" w:cs="[FontFamily: Name=Calibri]" w:eastAsia="[FontFamily: Name=Calibri]"/>
                <w:sz w:val="18"/>
                <w:szCs w:val="18"/>
              </w:rPr>
              <w:t>PCO SN Indicator 5.1.3 A: # of training and awareness raising sessions held with various stakeholders to analyse triggers of violent extremism and identify prevention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Trainings for Women and Awareness Sessions of Women and CSOs to identify triggers of violent extremism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Project/RP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UN Women country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4.1.5B:  </w:t>
            </w:r>
            <w:r>
              <w:rPr>
                <w:rFonts w:ascii="[FontFamily: Name=Calibri]" w:hAnsi="[FontFamily: Name=Calibri]" w:cs="[FontFamily: Name=Calibri]" w:eastAsia="[FontFamily: Name=Calibri]"/>
                <w:sz w:val="18"/>
                <w:szCs w:val="18"/>
              </w:rPr>
              <w:t>PCO SN Indicator 5.1.3 B: # of women equipped with skill development to strengthen women's economic resilience in preventing violence extremism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Skill Development sessions planned for women in Sindh &amp; KP to strengthen economic resilience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Progress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baseline data available from target area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UN Women country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94,135.00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94,135.00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173,835.00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173,835.00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173,835.00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173,835.00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r>
        <w:tc>
          <w:tcPr>
            <w:tcW w:w="3000" w:type="dxa"/>
          </w:tcPr>
          <w:p>
            <w:pP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b8bab769fb7341b8" Type="http://schemas.openxmlformats.org/officeDocument/2006/relationships/settings" Target="/word/settings.xml"/><Relationship Id="R32ee05525e3a4abf" Type="http://schemas.openxmlformats.org/officeDocument/2006/relationships/footer" Target="/word/footer2.xml"/><Relationship Id="Refc53b1afcf04e8b" Type="http://schemas.openxmlformats.org/officeDocument/2006/relationships/numbering" Target="/word/numbering.xml"/><Relationship Id="R97a52787ac5f423f" Type="http://schemas.openxmlformats.org/officeDocument/2006/relationships/footer" Target="/word/footer1.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b91179c9fa7245ac" Type="http://schemas.openxmlformats.org/officeDocument/2006/relationships/styles" Target="/word/styles.xml"/><Relationship Id="R7cca6574685b4bfb" Type="http://schemas.openxmlformats.org/officeDocument/2006/relationships/image" Target="/word/media/899dcb47-2218-4302-aac7-eec5f3b32691.jpeg"/><Relationship Id="R6efc1379910e438d" Type="http://schemas.openxmlformats.org/officeDocument/2006/relationships/image" Target="/word/media/8e520b25-4a92-4f7c-a92d-11d072ffb876.jpeg"/><Relationship Id="R83365d630dbe480c"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82DA303B-77AB-429D-B84B-0136EC4F3D13}"/>
</file>

<file path=customXml/itemProps2.xml><?xml version="1.0" encoding="utf-8"?>
<ds:datastoreItem xmlns:ds="http://schemas.openxmlformats.org/officeDocument/2006/customXml" ds:itemID="{1CB5FEE7-7F6B-427F-88F6-469C31F4BDFE}"/>
</file>

<file path=customXml/itemProps3.xml><?xml version="1.0" encoding="utf-8"?>
<ds:datastoreItem xmlns:ds="http://schemas.openxmlformats.org/officeDocument/2006/customXml" ds:itemID="{E0F86134-BF6D-49F3-BA70-655EE886076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