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f4eb6b55f0f14f7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570e1bbddf9c48c1"/>
      <w:footerReference w:type="even" r:id="R7999f84243274719"/>
      <w:footerReference w:type="first" r:id="Rb0a885477e104f31"/>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390375dc4041d7"/>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82ad143b00440c"/>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Occupied Palestinian Territory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2/23/2022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Through our work under this impact area we aim to contribute to the fulfilment of the SDGs 8 and 10 and in particular to promote development-oriented policies that support decent job creation, entrepreneurship, and encourage the formalization and growth of micro-, small- and medium-sized enterprises, including through access to financial services, achieve full and productive decent work for women, including those who belong to the marginalized groups, and progressively achieve and sustain income growth to marginalized groups.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Output 1.1 Palestinian institutions are better able to develop and apply more equitable policies, plans, legislation and services to support increased economic activity in the private sector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1.2 The Palestinian labour force benefits from enhanced worker protection, equal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1.3 The Palestinian productive sectors are able to improve quality, quantity and value of goods and services with diversified access to markets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1.4 Palestinians in the oPt have increased opportunity to engage in community level economic activity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policies promote decent work and economic opportunities for women in Palestine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legal, regulatory and/or policy frameworks aligned with international standards that create decent work for women developed and/or being implemented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Draft Labour Law developed based on consultations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Draft Labour Law developed based on consultations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Consultations on proposed amendments continues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policy papers on teh Labour Law Reform from a Gender Perspective were drafted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monitoring report   Approved polices, regulations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Number of legal, regulatory and/or policy frameworks that address unpaid care work developed and/or being implemented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National dialogue on care economy, including unpaid care is initiated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National dialogue on care economy, including unpaid care is contiuned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National dialogue on care economy, including unpaid care is continued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National dialogue on care economy, including unpaid care is continued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Civil society and women employees are supported to lobby and advocate for reforming, developing and implementing laws, policies, and regulatory frameworks that promote decent work for women</w:t>
            </w:r>
          </w:p>
        </w:tc>
        <w:tc>
          <w:tcPr>
            <w:tcW w:w="5000" w:type="dxa"/>
          </w:tcPr>
          <w:p>
            <w:pP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Number of civil society partners supported by UN Women whose knowledge and skills to advocate for the implementation of WEE policies are improved.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Members of the WEE Task Force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Members of the WEE Task Force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PGFTU and MSS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CSO partners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2.1.1C:  </w:t>
            </w:r>
            <w:r>
              <w:rPr>
                <w:rFonts w:ascii="[FontFamily: Name=Calibri]" w:hAnsi="[FontFamily: Name=Calibri]" w:cs="[FontFamily: Name=Calibri]" w:eastAsia="[FontFamily: Name=Calibri]"/>
                <w:sz w:val="18"/>
                <w:szCs w:val="18"/>
              </w:rPr>
              <w:t>Number of dialogues/advocacy campaigns convened with support by UN Women for civil society partners to contribute to Labor Law Reform and women's labour rights protection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Labor Law Reform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Labor Law Reform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Reports of Dialogue Sessions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2.1.1D:  </w:t>
            </w:r>
            <w:r>
              <w:rPr>
                <w:rFonts w:ascii="[FontFamily: Name=Calibri]" w:hAnsi="[FontFamily: Name=Calibri]" w:cs="[FontFamily: Name=Calibri]" w:eastAsia="[FontFamily: Name=Calibri]"/>
                <w:sz w:val="18"/>
                <w:szCs w:val="18"/>
              </w:rPr>
              <w:t>Number of lobbying coalitions of NGOs/CSOs newly established to advocate for the labour law reform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New Colaition under the JP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WEE Task Force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MSS Colaition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Government institutions have the knowledge and technical skills to develop, reform and implement laws, policies and regulations that promote decent work and economic opportunities for women in line with international standards</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Governmental Institutions that have increased technical capacities to develop and/or reform laws, policies, strategies and regulations for promoting decent work from a gender perspective, including response and recovery interventions.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MoL and MoNE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Ministry of National Economy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Ministries’ reports and UN Women internal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Number of government institutions that have taken concrete actions in relation to gender responsive budgeting due to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Ministry of national Economy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Ministry of National Economy and Ministry of Finance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222,765.00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1,022,765.00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Engagement at community, government and corporate level to promote the value of women’s decent work in all occupations and equal and collective sharing of unpaid care and household work, within the context of the COVID-19 Pandemic.</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communities testing and implementing the unpaid care initiative within the context of the COVID-19 crisis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Two additional chairperson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Oxford English Centre; Paltel Group; Birzeit Pharmaceutical Company; PalPay Co.; ALAMED Co Ltd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2.1.3B:  </w:t>
            </w:r>
            <w:r>
              <w:rPr>
                <w:rFonts w:ascii="[FontFamily: Name=Calibri]" w:hAnsi="[FontFamily: Name=Calibri]" w:cs="[FontFamily: Name=Calibri]" w:eastAsia="[FontFamily: Name=Calibri]"/>
                <w:sz w:val="18"/>
                <w:szCs w:val="18"/>
              </w:rPr>
              <w:t>Number of awareness campaigns rolled out to promote non-traditional economic sectors for women employment, especially during and after the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 and perception surveys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Corporate policies to promote decent working conditions and earnings is improved for women, especially within the COVID-19 Pandemic crisis and its related socioeconomic impact</w:t>
            </w:r>
          </w:p>
        </w:tc>
        <w:tc>
          <w:tcPr>
            <w:tcW w:w="5000" w:type="dxa"/>
          </w:tcPr>
          <w:p>
            <w:pPr/>
            <w:r>
              <w:rPr>
                <w:b/>
                <w:rFonts w:ascii="[FontFamily: Name=Calibri]" w:hAnsi="[FontFamily: Name=Calibri]" w:cs="[FontFamily: Name=Calibri]" w:eastAsia="[FontFamily: Name=Calibri]"/>
                <w:sz w:val="18"/>
                <w:szCs w:val="18"/>
              </w:rPr>
              <w:t xml:space="preserve">Indicator 2.1.4A:  </w:t>
            </w:r>
            <w:r>
              <w:rPr>
                <w:rFonts w:ascii="[FontFamily: Name=Calibri]" w:hAnsi="[FontFamily: Name=Calibri]" w:cs="[FontFamily: Name=Calibri]" w:eastAsia="[FontFamily: Name=Calibri]"/>
                <w:sz w:val="18"/>
                <w:szCs w:val="18"/>
              </w:rPr>
              <w:t>Number of corporate champions promoting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Through JP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2.1.4B:  </w:t>
            </w:r>
            <w:r>
              <w:rPr>
                <w:rFonts w:ascii="[FontFamily: Name=Calibri]" w:hAnsi="[FontFamily: Name=Calibri]" w:cs="[FontFamily: Name=Calibri]" w:eastAsia="[FontFamily: Name=Calibri]"/>
                <w:sz w:val="18"/>
                <w:szCs w:val="18"/>
              </w:rPr>
              <w:t>Number of corporates signing the WEPs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two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As of November 2021, a total of 15 Palestinian Companies had signed the WEPs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67,116.00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67,116.00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own, launch and/or better manage small and medium and large 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2.2B:  </w:t>
            </w:r>
            <w:r>
              <w:rPr>
                <w:rFonts w:ascii="[FontFamily: Name=Calibri]" w:hAnsi="[FontFamily: Name=Calibri]" w:cs="[FontFamily: Name=Calibri]" w:eastAsia="[FontFamily: Name=Calibri]"/>
                <w:sz w:val="18"/>
                <w:szCs w:val="18"/>
              </w:rPr>
              <w:t>Number of women with strengthened capacities and skills to participate in the economy, including as entrepreneurs,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2.2C:  </w:t>
            </w:r>
            <w:r>
              <w:rPr>
                <w:rFonts w:ascii="[FontFamily: Name=Calibri]" w:hAnsi="[FontFamily: Name=Calibri]" w:cs="[FontFamily: Name=Calibri]" w:eastAsia="[FontFamily: Name=Calibri]"/>
                <w:sz w:val="18"/>
                <w:szCs w:val="18"/>
              </w:rPr>
              <w:t>Number of national signatories to the Women Empowerment Principles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have access to improved and targeted training, skills development opportunities, and financial support related to managing small and medium and large enterprises</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Number of women entrepreneurs with increased capacity to manageme businesses as result of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31 Women Entrepreneurs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Entrepreneurs,  and MSMEs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122,145.00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922,145.00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stakeholders, including government institutions and corporate, develop and/or reform policies in favor of women entrepreneurs</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Number of corporates who take concrete actions in support of women entrepreneurship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Entrepreneurs and MSMEs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377,765.00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467,116.00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2,069,881.00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222,145.00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1,422,145.00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599,910.00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767,116.00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3,492,026.00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Through our work under this impact area we aim to contribute to the fulfilment of the SDGs 5 and 16 and in particular to eliminate all forms of violence against all women and girls in the public and private spheres, adopt and strengthen sound policies and enforceable legislation for the elimination of violence against women, significantly reduce all forms of violence against women and girls, end abuse and all forms of violence against and torture of children, and to develop effective, accountable and transparent justice and security institutions.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Output 2.1 Palestinian institutions are able to plan, manage resources and coordinate service delivery in a more efficient, responsive, equitable and accountable manner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2.2 Palestinian institutions have improved capacities for data generation, analysis and use for evidence-based gender-sensitive planning and policy formulation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2.4 Palestinian institutions are better able to legislate and provide rule of law, access to justice and security according to international standards and good practices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2.5 Palestinian institutional capacity is strengthened to implement, promote and monitor commitments with respect to international legal instruments, including on human rights and ratified conventions on culture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Palestinian national actors are better able to prevent violence against women and girls and deliver quality essential services to victims and survivors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3.3A:  </w:t>
            </w:r>
            <w:r>
              <w:rPr>
                <w:rFonts w:ascii="[FontFamily: Name=Calibri]" w:hAnsi="[FontFamily: Name=Calibri]" w:cs="[FontFamily: Name=Calibri]" w:eastAsia="[FontFamily: Name=Calibri]"/>
                <w:sz w:val="18"/>
                <w:szCs w:val="18"/>
              </w:rPr>
              <w:t>Number of laws, guidelines, protocols, standard operating procedures adopted/amended (in line with best practices) on the provision of quality services for victims and survivors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develop and implement responsive legal instructive guidelines on effective and responsive prosecution of VAW cases in court 2. SoPS for VAW specialized judiciary to institutionalize VAW specialized judiciary services and ensure responsive services that are consistent and in line with international standards. 3. SoPs for the OSC to further institutionalize the multi -sectoral services and ensure the provision of consistent multi- sectoral procedures. 4. develop and pilot a responsive Risks Assessment Template (RAT), to increase service providers capacity in preventing violence and providing due protection to survivors and victims of violence. 5.  Family Protection Bill endorsed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Family Protection Bill endorsed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The cybercrimes manual is  adopted by the AG;   SoPs for VAW judges are adopted by the CJ; 3 emergency plans are adopted ( one by the SJD, one by the AG and one by the CJ)l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 Total of 6 tools, including guidelies, SoPs and plans have been developed with UN Women Sawasya programme support for the use of the Justice, Secuirty and Social institutions. These include, the development and endorsement of a SoPs for the FJPU helpline; The development of   draft instrustive guidelines on  strategic litigation for the VAW SPPs; a  draft VAW SoPs for VAW judges; and  draft 3 emergency plans  (one for the SJD; one for the HJC, and one for the PP)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Three Laws are amended/ adopted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3.3B:  </w:t>
            </w:r>
            <w:r>
              <w:rPr>
                <w:rFonts w:ascii="[FontFamily: Name=Calibri]" w:hAnsi="[FontFamily: Name=Calibri]" w:cs="[FontFamily: Name=Calibri]" w:eastAsia="[FontFamily: Name=Calibri]"/>
                <w:sz w:val="18"/>
                <w:szCs w:val="18"/>
              </w:rPr>
              <w:t>Per Cent Increase in number of cases on VAW that were transferred by public prosecution to courts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As of Sept 2021, around 9,6% increase in  number of cases on VAW that were transferred by prosecution to courts. More specifically, in 2020, a total of 2060 VAW cases have been transferred by the Prosecutors to courts, while as of Sept 2021, a total of 2281  VAW cases have been transferred to  courts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Baseline and survey findings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Police and prosecution reviews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3.3C:  </w:t>
            </w:r>
            <w:r>
              <w:rPr>
                <w:rFonts w:ascii="[FontFamily: Name=Calibri]" w:hAnsi="[FontFamily: Name=Calibri]" w:cs="[FontFamily: Name=Calibri]" w:eastAsia="[FontFamily: Name=Calibri]"/>
                <w:sz w:val="18"/>
                <w:szCs w:val="18"/>
              </w:rPr>
              <w:t>Percentage of men and women who think it's not justifiable for women to be subjected to 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10% increase in percentage of men and women who think that a women should not tolerate violence to keep the family togther.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increase in percentage of men and women who think it's not justifiable for women to be subjected to 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Almost 48.3% of surveyed young men support non-violent behavior since they disagreed with the statement: “There are times when a woman deserves to be beaten” at the baseline. This has improved substantially to 81.2% at the end-line but overall, young women had a more positive attitude towards GBV at the baseline (67.7%) compared to young men (48.3%). At the end-line, the gap between young men and women was diminished since in total 83% disagreed with the preceding statement including 81.2% males and 84.5% females.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Survey of Beneficiaries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3.3D:  </w:t>
            </w:r>
            <w:r>
              <w:rPr>
                <w:rFonts w:ascii="[FontFamily: Name=Calibri]" w:hAnsi="[FontFamily: Name=Calibri]" w:cs="[FontFamily: Name=Calibri]" w:eastAsia="[FontFamily: Name=Calibri]"/>
                <w:sz w:val="18"/>
                <w:szCs w:val="18"/>
              </w:rPr>
              <w:t>Per Cent increase in number of VAW cases that are convicted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As of Sept 2021, around 4% increase in number of VAW cases that are convicted. More specifically, in 2020, a total of 590 VAW cases have been convicted, while  as of Sept 2021, a total of 615  VAW cases have been convicted.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Mizan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3.3E:  </w:t>
            </w:r>
            <w:r>
              <w:rPr>
                <w:rFonts w:ascii="[FontFamily: Name=Calibri]" w:hAnsi="[FontFamily: Name=Calibri]" w:cs="[FontFamily: Name=Calibri]" w:eastAsia="[FontFamily: Name=Calibri]"/>
                <w:sz w:val="18"/>
                <w:szCs w:val="18"/>
              </w:rPr>
              <w:t>Percentage of beneficiaries who received GBV assistance report an improved sense of safety and well-being.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Resilience Index</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men and boys undertake actions that promote favorable social norms for greater gender equality</w:t>
            </w:r>
          </w:p>
        </w:tc>
        <w:tc>
          <w:tcPr>
            <w:tcW w:w="5000" w:type="dxa"/>
          </w:tcPr>
          <w:p>
            <w:pPr/>
            <w:r>
              <w:rPr>
                <w:b/>
                <w:rFonts w:ascii="[FontFamily: Name=Calibri]" w:hAnsi="[FontFamily: Name=Calibri]" w:cs="[FontFamily: Name=Calibri]" w:eastAsia="[FontFamily: Name=Calibri]"/>
                <w:sz w:val="18"/>
                <w:szCs w:val="18"/>
              </w:rPr>
              <w:t xml:space="preserve">Indicator 3.3.1A:  </w:t>
            </w:r>
            <w:r>
              <w:rPr>
                <w:rFonts w:ascii="[FontFamily: Name=Calibri]" w:hAnsi="[FontFamily: Name=Calibri]" w:cs="[FontFamily: Name=Calibri]" w:eastAsia="[FontFamily: Name=Calibri]"/>
                <w:sz w:val="18"/>
                <w:szCs w:val="18"/>
              </w:rPr>
              <w:t># of targeted decision makers, community leaders and local champions who publicly promote 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40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decision makers and/or community leaders and /or local champions promoted publicly GE and EVAWG  Cumulative including 20 from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433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433 positive deviant men and women -122 couples (61 men and 61 women), 52 newly married couples (26 men and 26 women), 80 female and 26 male, 87 university students (40 males and 47 females), 21 media professionals (11 men, 10 women), and 45 CSOs and Unions staff (20 men and 25 women)- undertook actions (family visits and awareness raising sessions) that promote favorable social norms for greater gender equality in their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and UN Women 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3.3.1B:  </w:t>
            </w:r>
            <w:r>
              <w:rPr>
                <w:rFonts w:ascii="[FontFamily: Name=Calibri]" w:hAnsi="[FontFamily: Name=Calibri]" w:cs="[FontFamily: Name=Calibri]" w:eastAsia="[FontFamily: Name=Calibri]"/>
                <w:sz w:val="18"/>
                <w:szCs w:val="18"/>
              </w:rPr>
              <w:t>Number of women,men, girls and boys targeted through UN Women's provided services, solutions and actions aiming to enhance gender equality and reducing violence against women at the local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2628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1406 women and 1222 men were targeted through UN Women's provided services, solutions and actions aiming to enhance gender equality and reducing violence against women at the local level. 485,458 reached through social media products.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and UN Women 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1,481,556.00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1,759,600.00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1,795,275.00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1,663,942.00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1,398,225.00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8,098,598.00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institutions have the technical skills and knowledge to reform, develop and implement legislative and policy framework related to EVAW in line with international standards</w:t>
            </w:r>
          </w:p>
        </w:tc>
        <w:tc>
          <w:tcPr>
            <w:tcW w:w="5000" w:type="dxa"/>
          </w:tcPr>
          <w:p>
            <w:pPr/>
            <w:r>
              <w:rPr>
                <w:b/>
                <w:rFonts w:ascii="[FontFamily: Name=Calibri]" w:hAnsi="[FontFamily: Name=Calibri]" w:cs="[FontFamily: Name=Calibri]" w:eastAsia="[FontFamily: Name=Calibri]"/>
                <w:sz w:val="18"/>
                <w:szCs w:val="18"/>
              </w:rPr>
              <w:t xml:space="preserve">Indicator 3.3.2C:  </w:t>
            </w:r>
            <w:r>
              <w:rPr>
                <w:rFonts w:ascii="[FontFamily: Name=Calibri]" w:hAnsi="[FontFamily: Name=Calibri]" w:cs="[FontFamily: Name=Calibri]" w:eastAsia="[FontFamily: Name=Calibri]"/>
                <w:sz w:val="18"/>
                <w:szCs w:val="18"/>
              </w:rPr>
              <w:t>Number of governmental staff who are trained on integrating and applying gender equality standards in their function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30 ( MoSD counsellors); 30 VAW judges, 30 prosecutors, 30 Shaira court judge, 30 police, 50 service providers in  Gaza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93 (53% females ) service providers have been trained on integrating gender into their functions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Reports:  Sawasya II</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3.3.2D:  </w:t>
            </w:r>
            <w:r>
              <w:rPr>
                <w:rFonts w:ascii="[FontFamily: Name=Calibri]" w:hAnsi="[FontFamily: Name=Calibri]" w:cs="[FontFamily: Name=Calibri]" w:eastAsia="[FontFamily: Name=Calibri]"/>
                <w:sz w:val="18"/>
                <w:szCs w:val="18"/>
              </w:rPr>
              <w:t>Number of gender champions (e.g., focal points, agents of change, leaders, etc) and role models identified and promoted within justice and security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19 Gender Champions as per the following: 5 from Gaza stakeholders; 3 from MoSD, 2 from the prosecutors, 3 Standard judges and / senior staff at the HJC; 3 Sharia court judges and counselling departments ; 3 from the police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gender champoins ( 4 females and 2 males)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Sawasya II Programme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3.3.2F:  </w:t>
            </w:r>
            <w:r>
              <w:rPr>
                <w:rFonts w:ascii="[FontFamily: Name=Calibri]" w:hAnsi="[FontFamily: Name=Calibri]" w:cs="[FontFamily: Name=Calibri]" w:eastAsia="[FontFamily: Name=Calibri]"/>
                <w:sz w:val="18"/>
                <w:szCs w:val="18"/>
              </w:rPr>
              <w:t>Percentage of targeted governmental staff who report using skills aquired through UN Women capacity building initiatves to integrate and apply gender equality standards in their function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Sawasya II Programme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3.3.2H:  </w:t>
            </w:r>
            <w:r>
              <w:rPr>
                <w:rFonts w:ascii="[FontFamily: Name=Calibri]" w:hAnsi="[FontFamily: Name=Calibri]" w:cs="[FontFamily: Name=Calibri]" w:eastAsia="[FontFamily: Name=Calibri]"/>
                <w:sz w:val="18"/>
                <w:szCs w:val="18"/>
              </w:rPr>
              <w:t>Number of capacity building initiative undertaken by UN Women to support the Family and Juvenile Protection Unit in operating the new established hotline.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Developing and Operating Manual; Training for relevant Staff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2 initiatives undertaken  ( targeting PCP FJPU and Shaira court personnel)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 two capacity building intiatives;  one translated into developing SoPs and guidelines, and the second through collaborating with UNICEF to provide capacity building interventions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Operating Manual; Training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1,072,500.00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1,409,600.00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1,445,275.00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1,313,942.00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1,048,225.00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6,289,542.00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Civil society organisations are supported to lobby and advocate for the development, reform and implementation of legislative and policy frameworks related to EVAW in line with international commitments</w:t>
            </w:r>
          </w:p>
        </w:tc>
        <w:tc>
          <w:tcPr>
            <w:tcW w:w="5000" w:type="dxa"/>
          </w:tcPr>
          <w:p>
            <w:pPr/>
            <w:r>
              <w:rPr>
                <w:b/>
                <w:rFonts w:ascii="[FontFamily: Name=Calibri]" w:hAnsi="[FontFamily: Name=Calibri]" w:cs="[FontFamily: Name=Calibri]" w:eastAsia="[FontFamily: Name=Calibri]"/>
                <w:sz w:val="18"/>
                <w:szCs w:val="18"/>
              </w:rPr>
              <w:t xml:space="preserve">Indicator 3.3.3A:  </w:t>
            </w:r>
            <w:r>
              <w:rPr>
                <w:rFonts w:ascii="[FontFamily: Name=Calibri]" w:hAnsi="[FontFamily: Name=Calibri]" w:cs="[FontFamily: Name=Calibri]" w:eastAsia="[FontFamily: Name=Calibri]"/>
                <w:sz w:val="18"/>
                <w:szCs w:val="18"/>
              </w:rPr>
              <w:t>Number of women organizations/CSOs/networks/colaitions with increased institutional and organizational capacities to advocate for the alignment of local laws with international commitments as a result of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GUPW; Al-Muntada; CMC; PWWSD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Al Muntada; Musawah; CMC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has signed with Al Muntada ( a forum composed of 17 orgs), Musawah org in the West Bank and the Community Media Center in Gaza. These orgs will be provided with capacity building intiatcies to sharpen their advocacy skiils and knolwedge.   Moreover,  24 CSOs  ( Al Muntada and others ) representatives have had the opportunity to participate in 3 sessions with Musawah on Islam, gender and responsive fiqh interpretation, which also covered alignment with human rights principles and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CEDAW Committee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174,464.00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1,174,490.00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Availability and accessibility of quality services to women survivors and victims of violence strengthened</w:t>
            </w:r>
          </w:p>
        </w:tc>
        <w:tc>
          <w:tcPr>
            <w:tcW w:w="5000" w:type="dxa"/>
          </w:tcPr>
          <w:p>
            <w:pPr/>
            <w:r>
              <w:rPr>
                <w:b/>
                <w:rFonts w:ascii="[FontFamily: Name=Calibri]" w:hAnsi="[FontFamily: Name=Calibri]" w:cs="[FontFamily: Name=Calibri]" w:eastAsia="[FontFamily: Name=Calibri]"/>
                <w:sz w:val="18"/>
                <w:szCs w:val="18"/>
              </w:rPr>
              <w:t xml:space="preserve">Indicator 3.3.4A:  </w:t>
            </w:r>
            <w:r>
              <w:rPr>
                <w:rFonts w:ascii="[FontFamily: Name=Calibri]" w:hAnsi="[FontFamily: Name=Calibri]" w:cs="[FontFamily: Name=Calibri]" w:eastAsia="[FontFamily: Name=Calibri]"/>
                <w:sz w:val="18"/>
                <w:szCs w:val="18"/>
              </w:rPr>
              <w:t>Percentage of women survivors and victims of violence in shelters supported by legal aid, reintegration, psychosocial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3.3.4C:  </w:t>
            </w:r>
            <w:r>
              <w:rPr>
                <w:rFonts w:ascii="[FontFamily: Name=Calibri]" w:hAnsi="[FontFamily: Name=Calibri]" w:cs="[FontFamily: Name=Calibri]" w:eastAsia="[FontFamily: Name=Calibri]"/>
                <w:sz w:val="18"/>
                <w:szCs w:val="18"/>
              </w:rPr>
              <w:t>Number of women survivors and victims of violence actively engaged in advocacy initiatives to promote access and quality of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40 through HAYA and 20 women through Sawasya programmes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Haya Programme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3.3.4D:  </w:t>
            </w:r>
            <w:r>
              <w:rPr>
                <w:rFonts w:ascii="[FontFamily: Name=Calibri]" w:hAnsi="[FontFamily: Name=Calibri]" w:cs="[FontFamily: Name=Calibri]" w:eastAsia="[FontFamily: Name=Calibri]"/>
                <w:sz w:val="18"/>
                <w:szCs w:val="18"/>
              </w:rPr>
              <w:t>Number of SoPs adopted or amended and used by Shelters with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Hayan Programme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3.3.4E:  </w:t>
            </w:r>
            <w:r>
              <w:rPr>
                <w:rFonts w:ascii="[FontFamily: Name=Calibri]" w:hAnsi="[FontFamily: Name=Calibri]" w:cs="[FontFamily: Name=Calibri]" w:eastAsia="[FontFamily: Name=Calibri]"/>
                <w:sz w:val="18"/>
                <w:szCs w:val="18"/>
              </w:rPr>
              <w:t>Number of women, men, girls and boys who have been reached out through advocacy and awareness campaign on the rights of the furthest left behind groups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SHAML Project Documents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3.3.4F:  </w:t>
            </w:r>
            <w:r>
              <w:rPr>
                <w:rFonts w:ascii="[FontFamily: Name=Calibri]" w:hAnsi="[FontFamily: Name=Calibri]" w:cs="[FontFamily: Name=Calibri]" w:eastAsia="[FontFamily: Name=Calibri]"/>
                <w:sz w:val="18"/>
                <w:szCs w:val="18"/>
              </w:rPr>
              <w:t>Number of service providers ( governmental and non governmental) who have been targetted with awareness and capacity building on the rights of the furthest left behind groups of women and girls victims and survivors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90 service providers as per the following: 40 social workers, 30 care givers, 20 psychologists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SHAML Project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3.3.4G:  </w:t>
            </w:r>
            <w:r>
              <w:rPr>
                <w:rFonts w:ascii="[FontFamily: Name=Calibri]" w:hAnsi="[FontFamily: Name=Calibri]" w:cs="[FontFamily: Name=Calibri]" w:eastAsia="[FontFamily: Name=Calibri]"/>
                <w:sz w:val="18"/>
                <w:szCs w:val="18"/>
              </w:rPr>
              <w:t>Number of new services piloted or adapted to meet the needs of furthest left behind groups of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 elderly center in Jericho and Aisha center for users of dugs)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SHAML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1,409,600.00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1,445,275.00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1,313,942.00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1,048,225.00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5,902,184.00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3,413,662.00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4,828,826.00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4,935,825.00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4,541,826.00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3,744,675.00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21,464,814.00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3,413,662.00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4,828,826.00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4,935,825.00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4,541,826.00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3,744,675.00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21,464,814.00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 participate in and benefit from peace and security, humanitarian action and recovery efforts in Palestine.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Through our work under this impact area we aim to contribute to the fulfilment of the SDGs 5,10, and 16 and in particular, to ensure women’s full and effective participation and equal opportunities for leadership at all levels of decision-making in political life, progressively achieve and sustain income growth for marginalized groups, and ensure responsive, inclusive, participatory and representative decision-making in humanitarian action and recovery efforts.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Priority 2:  Governance, rule of law, justice, security and human rights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play a greater role and are better served by humanitarian response and recovery efforts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4.1B:  </w:t>
            </w:r>
            <w:r>
              <w:rPr>
                <w:rFonts w:ascii="[FontFamily: Name=Calibri]" w:hAnsi="[FontFamily: Name=Calibri]" w:cs="[FontFamily: Name=Calibri]" w:eastAsia="[FontFamily: Name=Calibri]"/>
                <w:sz w:val="18"/>
                <w:szCs w:val="18"/>
              </w:rPr>
              <w:t>Number of women and girls who directly benefit from UN Women supported humanitarian assistance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CERF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Programme/project evaluations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4.1C:  </w:t>
            </w:r>
            <w:r>
              <w:rPr>
                <w:rFonts w:ascii="[FontFamily: Name=Calibri]" w:hAnsi="[FontFamily: Name=Calibri]" w:cs="[FontFamily: Name=Calibri]" w:eastAsia="[FontFamily: Name=Calibri]"/>
                <w:sz w:val="18"/>
                <w:szCs w:val="18"/>
              </w:rPr>
              <w:t>% change in household income for marginalized women supported by UN Women through cash for work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Beneficiaries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4.1D:  </w:t>
            </w:r>
            <w:r>
              <w:rPr>
                <w:rFonts w:ascii="[FontFamily: Name=Calibri]" w:hAnsi="[FontFamily: Name=Calibri]" w:cs="[FontFamily: Name=Calibri]" w:eastAsia="[FontFamily: Name=Calibri]"/>
                <w:sz w:val="18"/>
                <w:szCs w:val="18"/>
              </w:rPr>
              <w:t>Percentage of beneficiaries who received GBV assistance report an improved sense of safety and well-being.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Resilience Index</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Humanitarian actors, including UN Humanitarian Country Team, are better able to plan, implement and monitor humanitarian assistance that is gender responsive and inclusive</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Numbers of clusters that receive trainings on the new GiHA Concepts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Review of Documents produced by Clusters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Percentage of HRP projects that are assigned GAM code of 3M, 4M, 3T, 4T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HPC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4.1.1D:  </w:t>
            </w:r>
            <w:r>
              <w:rPr>
                <w:rFonts w:ascii="[FontFamily: Name=Calibri]" w:hAnsi="[FontFamily: Name=Calibri]" w:cs="[FontFamily: Name=Calibri]" w:eastAsia="[FontFamily: Name=Calibri]"/>
                <w:sz w:val="18"/>
                <w:szCs w:val="18"/>
              </w:rPr>
              <w:t>Number of knowledge products developed by UN Women to inform the COVID 19 Humanitarian Response Plan, the HNO and HRP.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Gender Alert 2020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Assessment of the Gendered Impact of the Great March of Return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Case Studies to inform Sectoral Response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Rapid Gender Analysis of COVID 19 pandemic  in Palestine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2022 Gender Alert; Role of Women Organizations in Humanitarian Action; Resilience Index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2021 Gender Alert; Guidance Note on Gender Responsive Cash Based Intervention; 2 Gender Impact of the Gaza Escalation; 2 Policy Papers on WPS and 2 Policy Papers on Gender and COVID 19 (breastfeeding and clinical management)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on the UN Women and OCHA joint action plan implementation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4.1.1E:  </w:t>
            </w:r>
            <w:r>
              <w:rPr>
                <w:rFonts w:ascii="[FontFamily: Name=Calibri]" w:hAnsi="[FontFamily: Name=Calibri]" w:cs="[FontFamily: Name=Calibri]" w:eastAsia="[FontFamily: Name=Calibri]"/>
                <w:sz w:val="18"/>
                <w:szCs w:val="18"/>
              </w:rPr>
              <w:t>Number of gender experts deployed by UN Women to provide technical substantive support to the HCT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Office Records and Cnsultants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Gaza sub-office records and consultants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Marginalized women and girls have increased access to multi-sectorial services, including prevention and response to SGBV through protection centres/safe spaces</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 of women beneficiaries who receive psychosocial, legal and GBV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500 in Gaza and 300 WB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4.1.2B:  </w:t>
            </w:r>
            <w:r>
              <w:rPr>
                <w:rFonts w:ascii="[FontFamily: Name=Calibri]" w:hAnsi="[FontFamily: Name=Calibri]" w:cs="[FontFamily: Name=Calibri]" w:eastAsia="[FontFamily: Name=Calibri]"/>
                <w:sz w:val="18"/>
                <w:szCs w:val="18"/>
              </w:rPr>
              <w:t>Percentage of women beneficairies who are satisfied with services provided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4.1.2C:  </w:t>
            </w:r>
            <w:r>
              <w:rPr>
                <w:rFonts w:ascii="[FontFamily: Name=Calibri]" w:hAnsi="[FontFamily: Name=Calibri]" w:cs="[FontFamily: Name=Calibri]" w:eastAsia="[FontFamily: Name=Calibri]"/>
                <w:sz w:val="18"/>
                <w:szCs w:val="18"/>
              </w:rPr>
              <w:t>Number of service providors who report increased organizational capacity to provide services to women survivors and victims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AISHA; PCFS; WAC; YWCA, PFCCW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AISHA; PFCCW; WAC; YWCA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Marginalized women have increased access to the required assets, skills and partnerships</w:t>
            </w:r>
          </w:p>
        </w:tc>
        <w:tc>
          <w:tcPr>
            <w:tcW w:w="5000" w:type="dxa"/>
          </w:tcPr>
          <w:p>
            <w:pPr/>
            <w:r>
              <w:rPr>
                <w:b/>
                <w:rFonts w:ascii="[FontFamily: Name=Calibri]" w:hAnsi="[FontFamily: Name=Calibri]" w:cs="[FontFamily: Name=Calibri]" w:eastAsia="[FontFamily: Name=Calibri]"/>
                <w:sz w:val="18"/>
                <w:szCs w:val="18"/>
              </w:rPr>
              <w:t xml:space="preserve">Indicator 4.1.3A:  </w:t>
            </w:r>
            <w:r>
              <w:rPr>
                <w:rFonts w:ascii="[FontFamily: Name=Calibri]" w:hAnsi="[FontFamily: Name=Calibri]" w:cs="[FontFamily: Name=Calibri]" w:eastAsia="[FontFamily: Name=Calibri]"/>
                <w:sz w:val="18"/>
                <w:szCs w:val="18"/>
              </w:rPr>
              <w:t># of vulnerable women receiving cash &amp; benefitting from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Gaza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Pre and Post Self Assessment; Interviews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4.1.3B:  </w:t>
            </w:r>
            <w:r>
              <w:rPr>
                <w:rFonts w:ascii="[FontFamily: Name=Calibri]" w:hAnsi="[FontFamily: Name=Calibri]" w:cs="[FontFamily: Name=Calibri]" w:eastAsia="[FontFamily: Name=Calibri]"/>
                <w:sz w:val="18"/>
                <w:szCs w:val="18"/>
              </w:rPr>
              <w:t>Percentage of women recieving cash for work support who report satisfaction with the support they recieve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An enabling environment for the implementation of WPS commitments in Palestine is promoted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4.2B:  </w:t>
            </w:r>
            <w:r>
              <w:rPr>
                <w:rFonts w:ascii="[FontFamily: Name=Calibri]" w:hAnsi="[FontFamily: Name=Calibri]" w:cs="[FontFamily: Name=Calibri]" w:eastAsia="[FontFamily: Name=Calibri]"/>
                <w:sz w:val="18"/>
                <w:szCs w:val="18"/>
              </w:rPr>
              <w:t>Number of governmental and CSO actors that allocated budget specifically for the implementation of the NAP on 1325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NAP Monitoring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4.2C:  </w:t>
            </w:r>
            <w:r>
              <w:rPr>
                <w:rFonts w:ascii="[FontFamily: Name=Calibri]" w:hAnsi="[FontFamily: Name=Calibri]" w:cs="[FontFamily: Name=Calibri]" w:eastAsia="[FontFamily: Name=Calibri]"/>
                <w:sz w:val="18"/>
                <w:szCs w:val="18"/>
              </w:rPr>
              <w:t>Second Generation National Action Plan on UN SCR 1325 M&amp;E System is endorsed by MOWA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NAP Monitoring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4.2D:  </w:t>
            </w:r>
            <w:r>
              <w:rPr>
                <w:rFonts w:ascii="[FontFamily: Name=Calibri]" w:hAnsi="[FontFamily: Name=Calibri]" w:cs="[FontFamily: Name=Calibri]" w:eastAsia="[FontFamily: Name=Calibri]"/>
                <w:sz w:val="18"/>
                <w:szCs w:val="18"/>
              </w:rPr>
              <w:t>Percentage of beneficiaries who received GBV assistance report an improved sense of safety and well-being.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Resilience Index</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Policy makers have the capacity to effectively implement, monitor and track WPS commitments.</w:t>
            </w:r>
          </w:p>
        </w:tc>
        <w:tc>
          <w:tcPr>
            <w:tcW w:w="5000" w:type="dxa"/>
          </w:tcPr>
          <w:p>
            <w:pPr/>
            <w:r>
              <w:rPr>
                <w:b/>
                <w:rFonts w:ascii="[FontFamily: Name=Calibri]" w:hAnsi="[FontFamily: Name=Calibri]" w:cs="[FontFamily: Name=Calibri]" w:eastAsia="[FontFamily: Name=Calibri]"/>
                <w:sz w:val="18"/>
                <w:szCs w:val="18"/>
              </w:rPr>
              <w:t xml:space="preserve">Indicator 4.2.1A:  </w:t>
            </w:r>
            <w:r>
              <w:rPr>
                <w:rFonts w:ascii="[FontFamily: Name=Calibri]" w:hAnsi="[FontFamily: Name=Calibri]" w:cs="[FontFamily: Name=Calibri]" w:eastAsia="[FontFamily: Name=Calibri]"/>
                <w:sz w:val="18"/>
                <w:szCs w:val="18"/>
              </w:rPr>
              <w:t>Number of stakeholders who are trained to use the M&amp;E System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WPS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equality advocates have the knowledge and capacity to promote evidence based advocacy</w:t>
            </w:r>
          </w:p>
        </w:tc>
        <w:tc>
          <w:tcPr>
            <w:tcW w:w="5000" w:type="dxa"/>
          </w:tcPr>
          <w:p>
            <w:pPr/>
            <w:r>
              <w:rPr>
                <w:b/>
                <w:rFonts w:ascii="[FontFamily: Name=Calibri]" w:hAnsi="[FontFamily: Name=Calibri]" w:cs="[FontFamily: Name=Calibri]" w:eastAsia="[FontFamily: Name=Calibri]"/>
                <w:sz w:val="18"/>
                <w:szCs w:val="18"/>
              </w:rPr>
              <w:t xml:space="preserve">Indicator 4.2.2B:  </w:t>
            </w:r>
            <w:r>
              <w:rPr>
                <w:rFonts w:ascii="[FontFamily: Name=Calibri]" w:hAnsi="[FontFamily: Name=Calibri]" w:cs="[FontFamily: Name=Calibri]" w:eastAsia="[FontFamily: Name=Calibri]"/>
                <w:sz w:val="18"/>
                <w:szCs w:val="18"/>
              </w:rPr>
              <w:t>Number of dialogue/round table discussions on reconciliation among women political leaders, from different backgrounds.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WPS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4.2.2D:  </w:t>
            </w:r>
            <w:r>
              <w:rPr>
                <w:rFonts w:ascii="[FontFamily: Name=Calibri]" w:hAnsi="[FontFamily: Name=Calibri]" w:cs="[FontFamily: Name=Calibri]" w:eastAsia="[FontFamily: Name=Calibri]"/>
                <w:sz w:val="18"/>
                <w:szCs w:val="18"/>
              </w:rPr>
              <w:t>Number of intergenerational dialogues between women's feminist leaders and youth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WPS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4.2.2E:  </w:t>
            </w:r>
            <w:r>
              <w:rPr>
                <w:rFonts w:ascii="[FontFamily: Name=Calibri]" w:hAnsi="[FontFamily: Name=Calibri]" w:cs="[FontFamily: Name=Calibri]" w:eastAsia="[FontFamily: Name=Calibri]"/>
                <w:sz w:val="18"/>
                <w:szCs w:val="18"/>
              </w:rPr>
              <w:t>Number of  young women and men with increased capacity to act as WPS activists and community leaders through the use of social media and digital tools.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WPS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92,540.00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892,540.00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increased capacity to participate in and benefit from post-conflict planning and recovery efforts</w:t>
            </w:r>
          </w:p>
        </w:tc>
        <w:tc>
          <w:tcPr>
            <w:tcW w:w="5000" w:type="dxa"/>
          </w:tcPr>
          <w:p>
            <w:pPr/>
            <w:r>
              <w:rPr>
                <w:b/>
                <w:rFonts w:ascii="[FontFamily: Name=Calibri]" w:hAnsi="[FontFamily: Name=Calibri]" w:cs="[FontFamily: Name=Calibri]" w:eastAsia="[FontFamily: Name=Calibri]"/>
                <w:sz w:val="18"/>
                <w:szCs w:val="18"/>
              </w:rPr>
              <w:t xml:space="preserve">Indicator 4.2.3A:  </w:t>
            </w:r>
            <w:r>
              <w:rPr>
                <w:rFonts w:ascii="[FontFamily: Name=Calibri]" w:hAnsi="[FontFamily: Name=Calibri]" w:cs="[FontFamily: Name=Calibri]" w:eastAsia="[FontFamily: Name=Calibri]"/>
                <w:sz w:val="18"/>
                <w:szCs w:val="18"/>
              </w:rPr>
              <w:t>Number of grassroots organizations supported to implement livelihood initiatives in conflict affected areas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4.2.3D:  </w:t>
            </w:r>
            <w:r>
              <w:rPr>
                <w:rFonts w:ascii="[FontFamily: Name=Calibri]" w:hAnsi="[FontFamily: Name=Calibri]" w:cs="[FontFamily: Name=Calibri]" w:eastAsia="[FontFamily: Name=Calibri]"/>
                <w:sz w:val="18"/>
                <w:szCs w:val="18"/>
              </w:rPr>
              <w:t>Number of women who benefited from economic recovery schemes implemented through UN Women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CFTA and MSS through the WPHF COVID-19 Emergency Response Window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CFTA and MSS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4.2.3E:  </w:t>
            </w:r>
            <w:r>
              <w:rPr>
                <w:rFonts w:ascii="[FontFamily: Name=Calibri]" w:hAnsi="[FontFamily: Name=Calibri]" w:cs="[FontFamily: Name=Calibri]" w:eastAsia="[FontFamily: Name=Calibri]"/>
                <w:sz w:val="18"/>
                <w:szCs w:val="18"/>
              </w:rPr>
              <w:t>Number of women local peacebuilders trained on Early Warning Systems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CFTA and MSS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CBOs partcipating in the WHPF Emergency Window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120" w:type="dxa"/>
          </w:tcPr>
          <w:p>
            <w:pP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92,540.00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2,192,540.00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522,540.00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4,292,540.00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comprehensive and dynamic set of global norms, policies and standards on gender equality and the empowerment of all women and girls is strengthened and implemented</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4: State and national institutions promote and monitor gender equality and enforce non-discrimination for all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capacity of governments and stakeholders is strengthened to assess progress in implementation of the Beijing Platform for Action, and other global normative and policy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6.1B:  </w:t>
            </w:r>
            <w:r>
              <w:rPr>
                <w:rFonts w:ascii="[FontFamily: Name=Calibri]" w:hAnsi="[FontFamily: Name=Calibri]" w:cs="[FontFamily: Name=Calibri]" w:eastAsia="[FontFamily: Name=Calibri]"/>
                <w:sz w:val="18"/>
                <w:szCs w:val="18"/>
              </w:rPr>
              <w:t>Number of National Reports submitted by the Government of Palestine in relation to Intergovernmental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CEDAW Reporting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Government and civil society are better able to coordinate on the implementation of national gender commitment</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Number of committees/coordination mechanisms on GEWE with strengthened capacities as a result of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GRB National Committee; Media Network; Referral System; SDG Group 5; National Committee to Combat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GRB National Committee; SDG Group 5; Gender Units; LACS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GRB National Committee; SDG Group 5; Gender Units; LACS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Staff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6.1.1B:  </w:t>
            </w:r>
            <w:r>
              <w:rPr>
                <w:rFonts w:ascii="[FontFamily: Name=Calibri]" w:hAnsi="[FontFamily: Name=Calibri]" w:cs="[FontFamily: Name=Calibri]" w:eastAsia="[FontFamily: Name=Calibri]"/>
                <w:sz w:val="18"/>
                <w:szCs w:val="18"/>
              </w:rPr>
              <w:t>CEDAW Civil Society Coalition is actively lobbying for the implementation of the CEDAW Concluding Observations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Staff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and other national stakeholders are supported to participate in intergovernmental processes</w:t>
            </w:r>
          </w:p>
        </w:tc>
        <w:tc>
          <w:tcPr>
            <w:tcW w:w="5000" w:type="dxa"/>
          </w:tcPr>
          <w:p>
            <w:pPr/>
            <w:r>
              <w:rPr>
                <w:b/>
                <w:rFonts w:ascii="[FontFamily: Name=Calibri]" w:hAnsi="[FontFamily: Name=Calibri]" w:cs="[FontFamily: Name=Calibri]" w:eastAsia="[FontFamily: Name=Calibri]"/>
                <w:sz w:val="18"/>
                <w:szCs w:val="18"/>
              </w:rPr>
              <w:t xml:space="preserve">Indicator 6.1.2A:  </w:t>
            </w:r>
            <w:r>
              <w:rPr>
                <w:rFonts w:ascii="[FontFamily: Name=Calibri]" w:hAnsi="[FontFamily: Name=Calibri]" w:cs="[FontFamily: Name=Calibri]" w:eastAsia="[FontFamily: Name=Calibri]"/>
                <w:sz w:val="18"/>
                <w:szCs w:val="18"/>
              </w:rPr>
              <w:t>Number of intergovernmental processes where Palestinian delegates participate with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CSW64; Generation Equality Forum; B+25; Regional SDG Forum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CSW64; Generation Equality Forum; B+25; Regional SDG Forum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Staff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Palestinian Central Bureau of Statistics is able to collect and disseminate sex disaggregated data and gender statistics (data, evidence based, knowledge management), including to inform evidence based normative and policy dialogues among government, civil society and other stakeholders on GEWE.</w:t>
            </w:r>
          </w:p>
        </w:tc>
        <w:tc>
          <w:tcPr>
            <w:tcW w:w="5000" w:type="dxa"/>
          </w:tcPr>
          <w:p>
            <w:pPr/>
            <w:r>
              <w:rPr>
                <w:b/>
                <w:rFonts w:ascii="[FontFamily: Name=Calibri]" w:hAnsi="[FontFamily: Name=Calibri]" w:cs="[FontFamily: Name=Calibri]" w:eastAsia="[FontFamily: Name=Calibri]"/>
                <w:sz w:val="18"/>
                <w:szCs w:val="18"/>
              </w:rPr>
              <w:t xml:space="preserve">Indicator 6.1.3A:  </w:t>
            </w:r>
            <w:r>
              <w:rPr>
                <w:rFonts w:ascii="[FontFamily: Name=Calibri]" w:hAnsi="[FontFamily: Name=Calibri]" w:cs="[FontFamily: Name=Calibri]" w:eastAsia="[FontFamily: Name=Calibri]"/>
                <w:sz w:val="18"/>
                <w:szCs w:val="18"/>
              </w:rPr>
              <w:t>Number of knowledge management/publications by PCBS on gender statistics and SDG gender indicators with focus on impact of COVID-19 on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1 out of the 6 SDG Indicators that are currently unavailable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PCBS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c682ad143b00440c" Type="http://schemas.openxmlformats.org/officeDocument/2006/relationships/image" Target="/word/media/85e1e6ca-cfcc-47aa-84c6-05317a9f283e.jpeg"/><Relationship Id="R8d1da095bb7e444f" Type="http://schemas.openxmlformats.org/officeDocument/2006/relationships/styles" Target="/word/styles.xml"/><Relationship Id="Rb44247b547b2477a" Type="http://schemas.openxmlformats.org/officeDocument/2006/relationships/numbering" Target="/word/numbering.xml"/><Relationship Id="rId3" Type="http://schemas.openxmlformats.org/officeDocument/2006/relationships/customXml" Target="../customXml/item3.xml"/><Relationship Id="R7999f84243274719" Type="http://schemas.openxmlformats.org/officeDocument/2006/relationships/footer" Target="/word/footer2.xml"/><Relationship Id="rId2" Type="http://schemas.openxmlformats.org/officeDocument/2006/relationships/customXml" Target="../customXml/item2.xml"/><Relationship Id="rId1" Type="http://schemas.openxmlformats.org/officeDocument/2006/relationships/customXml" Target="../customXml/item1.xml"/><Relationship Id="R570e1bbddf9c48c1" Type="http://schemas.openxmlformats.org/officeDocument/2006/relationships/footer" Target="/word/footer1.xml"/><Relationship Id="Rb0a885477e104f31" Type="http://schemas.openxmlformats.org/officeDocument/2006/relationships/footer" Target="/word/footer3.xml"/><Relationship Id="R3b8395dbeb874845" Type="http://schemas.openxmlformats.org/officeDocument/2006/relationships/settings" Target="/word/settings.xml"/><Relationship Id="R12390375dc4041d7" Type="http://schemas.openxmlformats.org/officeDocument/2006/relationships/image" Target="/word/media/7bbe85b9-1cd7-4fe8-881e-bd5a13ea2a59.jpe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57728E21-CB15-4E1E-8E5D-61F1B61CF4BD}"/>
</file>

<file path=customXml/itemProps2.xml><?xml version="1.0" encoding="utf-8"?>
<ds:datastoreItem xmlns:ds="http://schemas.openxmlformats.org/officeDocument/2006/customXml" ds:itemID="{F5E92C1D-9455-4F53-B1A3-4352084FD50C}"/>
</file>

<file path=customXml/itemProps3.xml><?xml version="1.0" encoding="utf-8"?>
<ds:datastoreItem xmlns:ds="http://schemas.openxmlformats.org/officeDocument/2006/customXml" ds:itemID="{6C028905-7C29-47BC-9E15-DB93AA37479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0x010100FC273880CBB3B143B8482C01086D00A5</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