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a82da78ddbcc419c"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3e31c396c6d547d4"/>
      <w:footerReference w:type="even" r:id="R93c8d94d8dd64247"/>
      <w:footerReference w:type="first" r:id="R9d2cc383c35443c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a5da4d66bf4dc4"/>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dc1ebb47774c5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2019-2023</w:t>
      </w:r>
    </w:p>
    <w:p>
      <w:pPr>
        <w:jc w:val="center"/>
      </w:pPr>
      <w:r>
        <w:rPr>
          <w:b/>
          <w:caps/>
          <w:rFonts w:ascii="[FontFamily: Name=Calibri]" w:hAnsi="[FontFamily: Name=Calibri]" w:cs="[FontFamily: Name=Calibri]" w:eastAsia="[FontFamily: Name=Calibri]"/>
          <w:sz w:val="32"/>
          <w:szCs w:val="32"/>
          <w:color w:val="009CDB"/>
        </w:rPr>
        <w:t>UN WOMEN Rwanda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 at local and national levels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UNDAP Results Area "Transformational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By 2023, people in Rwanda benefit from enhanced gender equality, justice, human rights,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By 2023, people in Rwanda participate more actively in democratic and development processes and benefit from transparent and accountable public and private sector institutions that develop evidence based policies and deliver quality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UNDAP Results Area "Social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 By 2023 people in Rwanda, particularly the most vulnerable, have increased resilience to both natural and man-made shocks for a life free from all forms of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diverse cohort of women leaders is formed to lead in governance at local and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Percentage of seats in Parliament (Chamber of Deputies) held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Parliamentary elections are scheduled to take place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Following the September 2018 legislative elections, women occupy 61% of seats in the Chamber of Deputies.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Electoral Commission (NEC)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Percentage of seats in District Councils held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elections are scheduled for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elections are scheduled for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43 %</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Electoral Commission (NEC)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capacity to compete for leadership positions and to lead decision making processes at local and national level strengthened</w:t>
            </w:r>
          </w:p>
        </w:tc>
        <w:tc>
          <w:tcPr>
            <w:tcW w:w="5000" w:type="dxa"/>
          </w:tcPr>
          <w:p>
            <w:pP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Proportion of aspirants vying for leadership positions, disaggregated by leadership level (local, parliamentary)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elections are scheduled to be held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elections are scheduled to be held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 (in local government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government elections are scheduled for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elections are scheduled to be held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61% (in Parliamentarians elections)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Parliamentary elections are scheduled for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61%  (women candidates in Parliamentarians elections)  2) 46.6% (women candidates in local government elections)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These baselines are based on the previous election cycle  (Parliamentary Chamber of Deputies elections in 2018 where out of the 521 registered candidates who competed for seats, 322 (62 percent) are women; and local government elections in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Cross referencing of UN Women and IP with National Electoral Commission Electoral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women mentored in transformational leadership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7900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is based on the number of women and girls mentored under the project Advancing and sustaining gender equality gains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Gender and Family Promotion (MIGEPROF)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Organizational capacities, outreach and convening power of networks that promote women's leadership and participation in decision making organs enhanced</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networks (private sector, faith-based, youth-led) advocating for women’s political participation,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network-led dialogues and advocacy initiatives to promote women's political leadership and participation undertaken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aims to support at least one such event per year. Counting the baseline value, this amounts to a cumulative total of 7 event supported by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2018, UN Women supported the organization of a Gender Conference within the framework of the Transform Africa Summit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Implementing Partners’ progress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perceived as equally legitimate and effective leaders as men throughout all spheres of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Percentage of population satisfied with the upholding of gender equality principles in their area (as reported in the Rwandan Citizen Report Card).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is derived from the report on the Citizen Report Card survey conducted by the Rwanda Governance Board (RGB) in 2016. The report on the 2017 survey has not yet been published.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Citizen Report Card survey by the Rwanda Governance Board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male community and opinion leaders advocating for women’s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Rwanda is leading on the HeforShe campaign globally and UN Women has applied the men engaged approach under the former Strategic Note. However, the targeted engagement of community and opinion leaders in advocacy campaigns will be newly launched in the SN 2019-2023.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awareness of gender equality and civic understanding of women’s right to equal participation in decision making increased.</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community-led initiatives undertaken with UN Women support, in support of gender equality and women’s political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years, with the aim of reaching a total of 20 community-led initiatives by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community dialogues undertaken in partnership with key stakeholders to promote gender equality and women’s political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capacity of media and educational institutions to propagate gender equality as social goal and positively portray women’s leadership</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media houses with increased capacity in gender responsive media coverage and reporting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Online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line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Online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Online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5 year target for Online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st year target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2nd year cumulative  target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3rd  year cumulative  target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3rd  year cumulative  target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4th  year cumulative  target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year targets for Radio broadcast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1st year target for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2nd year target  for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3rd  year target  for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4th  year target  for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year cumulative  target  for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Some work has already been happening with the media on gender responsive media houses but has not yet been  institutionalized. Targets are disaggregated by type of media house (Online and print media, Radio broadcast and TV stations)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Number of initiatives undertaken by media, religious and educational institutions demonstrating increased awareness of gender equality and women’s empowerment,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at least 3 initiatives anually until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Implementing Partners’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Individual and networks of men and boys, women and girls mobilized in favor of gender equality and respectful relationships</w:t>
            </w:r>
          </w:p>
        </w:tc>
        <w:tc>
          <w:tcPr>
            <w:tcW w:w="5000" w:type="dxa"/>
          </w:tcPr>
          <w:p>
            <w:pP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Number of new initiatives promoting male engagement in support of gender equality and women’s empowerment launched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1.2.3C:  </w:t>
            </w:r>
            <w:r>
              <w:rPr>
                <w:rFonts w:ascii="[FontFamily: Name=Calibri]" w:hAnsi="[FontFamily: Name=Calibri]" w:cs="[FontFamily: Name=Calibri]" w:eastAsia="[FontFamily: Name=Calibri]"/>
                <w:sz w:val="18"/>
                <w:szCs w:val="18"/>
              </w:rPr>
              <w:t>Number of targeted CSOs, FBOs and Political Parties that put into place a gender strategy (disaggregated by type of organization).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all 11 political parties that exist in Rwanda to put into place a gender strategy by year 2023. So far all political parties have women wings structure but none of them have a gender action plan or strategy which is seen as a sustainability strategy for gender responsive 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15 CSOs (including umbrella CSOs) to put into place a gender action plan by year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(FBOs)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 to support 5 FBOs to put into place a gender action plan by year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2nd year cumulative target for FBO producing a gender action plan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3rd  year cumulative target for FBO producing a gender action plan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4th  year cumulative target for FBO producing a gender action plan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year cumulative target and SN period target t for FBO producing a gender action plan or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1.2.3D:  </w:t>
            </w:r>
            <w:r>
              <w:rPr>
                <w:rFonts w:ascii="[FontFamily: Name=Calibri]" w:hAnsi="[FontFamily: Name=Calibri]" w:cs="[FontFamily: Name=Calibri]" w:eastAsia="[FontFamily: Name=Calibri]"/>
                <w:sz w:val="18"/>
                <w:szCs w:val="18"/>
              </w:rPr>
              <w:t>Number of initiatives spearheaded by male gender equality advocates and/or Men Engage clubs, tackling violence against women candidates and/or voters.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10 initiatives by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Implementation of gender equality and women’s empowerment commitments strengthened at national and local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Average percentage of national and district budget allocated to gender equality and/or women’s empowerment by government institutions (disaggregated by Ministries and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Ministerial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Ministerial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Ministerial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Ministerial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Ministerial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District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District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District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District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District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Ministries:14%     2) Districts: 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refers to the average percentage of budget allocated to gender equality and women empowerment across Ministries and their affiliated pastoral institutions as shown in the Gender Budget Statements produced by the Gender Monitoring Office (GMO) in collaboration with the Ministry of Finance and Economic Planning (MINECOFIN).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 on gender budget statements produced by the Gender Monitoring Office (GMO)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1.3C:  </w:t>
            </w:r>
            <w:r>
              <w:rPr>
                <w:rFonts w:ascii="[FontFamily: Name=Calibri]" w:hAnsi="[FontFamily: Name=Calibri]" w:cs="[FontFamily: Name=Calibri]" w:eastAsia="[FontFamily: Name=Calibri]"/>
                <w:sz w:val="18"/>
                <w:szCs w:val="18"/>
              </w:rPr>
              <w:t>Number of Strategic Plan implementation progress reports documenting gender equality progress, disaggregated by type of plans (NST1, SSPs, DDPs and UNDAP)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includes 2 reports for the NST1 (2020 and 2023), 10 for SSPs and 15 for DDSs, counting each sector or entity separately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review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Gender Machinery Institutions’ capacity to coordinate and oversee gender mainstreaming at national and local level strengthened</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A functional National Gender and Family Promotion Cluster with a secretariat is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is Yes, the secretariat of the gender cluster is in place and functional by year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National Gender and Family Promotion Cluster (NGFC) was revived in 2018, with its structures (including the Secretariat) under redevelopment.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Ministry of Gender and Family Promotion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Government institutions demonstrating capacity to strengthen accountability towards gender sensitive service delivery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Gender Monitoring Office (GMO) is the only government institution (at this point) which has capacity to strengthen accountability towards gender sensitive service delivery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Number of gender audit/accountability reports produced by the National Gender Machinery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2017, the GMO conducted one institutional audit (for the penitentiary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1.3.1D:  </w:t>
            </w:r>
            <w:r>
              <w:rPr>
                <w:rFonts w:ascii="[FontFamily: Name=Calibri]" w:hAnsi="[FontFamily: Name=Calibri]" w:cs="[FontFamily: Name=Calibri]" w:eastAsia="[FontFamily: Name=Calibri]"/>
                <w:sz w:val="18"/>
                <w:szCs w:val="18"/>
              </w:rPr>
              <w:t>Number of women leaders who are skilled to assess and influence districts planning and budgeting processes and reporting using a gender lens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Implementing Partners’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to execute gender-responsive development strategies, sector strategies, district development plans and budgets by Government institutions at national and local levels increased</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Number of state institutions with increased capacity to implement  gender responsive planning and budgeting principles and standards through UN Women support (disaggregated by ministries and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strengthen capacity of all the 17 ministries in gender responsive planning and budgeting principles and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 (all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strengthen capacity of all the 30 Districts in gender responsive planning and budgeting principles and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(all the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Ministries: 5    2) Districts: 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1.3.3C:  </w:t>
            </w:r>
            <w:r>
              <w:rPr>
                <w:rFonts w:ascii="[FontFamily: Name=Calibri]" w:hAnsi="[FontFamily: Name=Calibri]" w:cs="[FontFamily: Name=Calibri]" w:eastAsia="[FontFamily: Name=Calibri]"/>
                <w:sz w:val="18"/>
                <w:szCs w:val="18"/>
              </w:rPr>
              <w:t>Number of  gender mainstreaming sector strategies progress reports produced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the implementation and production of at least one progress report per year on any gender strategy (among the existing ones)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 including ministry of justice, RNP, RIB,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1.3.3D:  </w:t>
            </w:r>
            <w:r>
              <w:rPr>
                <w:rFonts w:ascii="[FontFamily: Name=Calibri]" w:hAnsi="[FontFamily: Name=Calibri]" w:cs="[FontFamily: Name=Calibri]" w:eastAsia="[FontFamily: Name=Calibri]"/>
                <w:sz w:val="18"/>
                <w:szCs w:val="18"/>
              </w:rPr>
              <w:t>Number of gender statistics thematic reports/profiles produced  by the government to promote gender responsive planning and budgeting,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gender statistics/profile reports produced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figure is based on the number of gender statistics reports produce under the partnership of UN Women and the National Institute of statistics of Rwanda (NISR)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NISR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1.3.3F:  </w:t>
            </w:r>
            <w:r>
              <w:rPr>
                <w:rFonts w:ascii="[FontFamily: Name=Calibri]" w:hAnsi="[FontFamily: Name=Calibri]" w:cs="[FontFamily: Name=Calibri]" w:eastAsia="[FontFamily: Name=Calibri]"/>
                <w:sz w:val="18"/>
                <w:szCs w:val="18"/>
              </w:rPr>
              <w:t>Number of new normative reports submitted by the State Party on the status of implementation of key GEWE commitments, with UN Women support (disaggregated by type of normative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UPR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next UPR report will be produced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1Beijing platform for action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next Beijing platform for action (+25) report will be produced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UPR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next UPR report will be produced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CEDAW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next CEDAW report will be produced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Africa Solemn Declaration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targets are cumulative over the years, with the aim of producing 5 Africa Solemn Declaration Reports, one every year and 5 by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MINIJUST, CSOs, NCHR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1.3.3G:  </w:t>
            </w:r>
            <w:r>
              <w:rPr>
                <w:rFonts w:ascii="[FontFamily: Name=Calibri]" w:hAnsi="[FontFamily: Name=Calibri]" w:cs="[FontFamily: Name=Calibri]" w:eastAsia="[FontFamily: Name=Calibri]"/>
                <w:sz w:val="18"/>
                <w:szCs w:val="18"/>
              </w:rPr>
              <w:t>Number gender-responsive assessments of COVID-19 responses conducted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1.3.3H:  </w:t>
            </w:r>
            <w:r>
              <w:rPr>
                <w:rFonts w:ascii="[FontFamily: Name=Calibri]" w:hAnsi="[FontFamily: Name=Calibri]" w:cs="[FontFamily: Name=Calibri]" w:eastAsia="[FontFamily: Name=Calibri]"/>
                <w:sz w:val="18"/>
                <w:szCs w:val="18"/>
              </w:rPr>
              <w:t>Number and types of COVID 19 programs, policies, or recovery plans launched by government, civil society or donors using data/information from UN Women supported gender analysis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1.3.3I:  </w:t>
            </w:r>
            <w:r>
              <w:rPr>
                <w:rFonts w:ascii="[FontFamily: Name=Calibri]" w:hAnsi="[FontFamily: Name=Calibri]" w:cs="[FontFamily: Name=Calibri]" w:eastAsia="[FontFamily: Name=Calibri]"/>
                <w:sz w:val="18"/>
                <w:szCs w:val="18"/>
              </w:rPr>
              <w:t>Number of women and girls vulnerable to COVID-19 who benefit from social safety net provided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Linked to activity 1.3.3.63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Initiatives during Covid19 response and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2,684,250.00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134,000.00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1,194,250.00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equal economic opportunities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UNDAP Results Area "Economic Transformation"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 By 2023 people in Rwanda benefit from more inclusive, competitive and sustainable economic growth that generates decent work and promotes quality livelihoods for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New opportunities are unlocked for women to benefit from Rwanda’s expanding private sector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Percentage of women who received a loan for business development purposes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figure is drawn from the FinScope report entitled: Women and Financial inclusion in Rwanda, produced in 2016 by Access to Finance Rwanda in collaboration with the Ministry of Fiance and Economic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FinScope Survey by MINECOFIN/Access to Finance Rwanda or NISR: Integrated Living Conditions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Percentage of women opening and owning new business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next establishment census will be conducted in 2020/2021 and be released in year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is based on the 2017/2018 Establishment census survey conducted by the National Institute of Statistics of Rwanda (NISR).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Establishment Census report by NISR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Percentage of public procurement tenders awarded to women-owned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value is derived from a study on gender responsive procurement commissioned by UN Women Rwanda in partnership with New Faces New Voices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New Faces New Voices Progress reports / Rwanda Procurement Authority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Number of gender sensitive measures to promote women in business, adopted by private sector actors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enhanced skills and access to finance and markets to leverage business opportunities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provided  with skills development in entrepreneurship and business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value is based on the women entrepreneurs directly supported in 2018 by National Women Council (NWC) and the New Faces New Voices (NFNV) within the framework of the programme "Advancing and Sustaining Gender Equality Gains in Rwanda". The entrepreneurs received training on procurement and/or business development. UN Women and its IPs target women owning small, medium and large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Proportion of women entrepreneurs trained by UN Women who applied their skills in developing business plans to access loans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The aim is to have at least 75% of women entrepreneurs trained by UN Women developing business plans to access loans.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market platforms/linkages established and operational with UN Women support, for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Number of targeted women entrepreneurs benefiting from markets linkages facilitated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about 500 women entrepreneurs in markets linkages by year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capacity and opportunities to access remunerated off-farm employment increased</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Proportion of young women who complete UN Women supported professional technical training courses and get employed by local manufacturing industries or entreprises.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The main objective is to get at least 95% of all young women trained get employed by manufacturing industries or entreprises.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Proportion of UN Women mentored women/girls graduates who obtain employment placements aligned to their skills set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targets values are cumulative over the years. The aim is to get at least 95% of UN Women mentored women/girls graduates who get employment placements aligned to their skills set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women and girls vulnerable to COVID-19 who have received UN Women funded livelihood support, e.g. cash transfers, inputs, technical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initiatives during Covid-19 response and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24,153.00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72,009.00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Corporate sector actors demonstrate increased understanding of and commitment to implement gender equality and women’s empowerment practices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private sector companies trained to promote women friendly work environments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Target values are cumulative over the years.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companies adopting gender sensitive measures as a result of UN Women supported peer-to-peer learning exchange among/between companies.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Implementing Partners's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farmers and cooperatives’ engagement in higher segments of the food and agricultural value chains is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Aggregated production and sales made by women farmers through UN Women facilitated linkages with buyers disaggregated by produce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 metric tons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The main objective is to double the quantity and quality of produce by the year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 metric tons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 metric tons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 metric tons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1100 metric tons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655 metric tons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is based on all the 12 cooperatives covered under the project BuyfromWomen which have successfully been linked to the Rwanda Grains and Corn Corporation (RGCC) with a total of 655 metric tons of maize delivered for 2017 (all grade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Buy from Women Digital Platform and Cooperative ledgers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2.3B:  </w:t>
            </w:r>
            <w:r>
              <w:rPr>
                <w:rFonts w:ascii="[FontFamily: Name=Calibri]" w:hAnsi="[FontFamily: Name=Calibri]" w:cs="[FontFamily: Name=Calibri]" w:eastAsia="[FontFamily: Name=Calibri]"/>
                <w:sz w:val="18"/>
                <w:szCs w:val="18"/>
              </w:rPr>
              <w:t>Number of women farmers accessing improved agricultural inputs and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6687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The aim is to add about a 1,000 women farmers every year up to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7687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8687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9687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10,648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Within the framework of the Joint Programme "Accelerating Progress Towards the Economic Empowerment of Rural Women" (JP-RWEE) and the Buy from Women project, in 2017, 5,617 women farmers accessed improved agricultural inputs and technologies (e.g. fertilizers, greenhouses,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2.3C:  </w:t>
            </w:r>
            <w:r>
              <w:rPr>
                <w:rFonts w:ascii="[FontFamily: Name=Calibri]" w:hAnsi="[FontFamily: Name=Calibri]" w:cs="[FontFamily: Name=Calibri]" w:eastAsia="[FontFamily: Name=Calibri]"/>
                <w:sz w:val="18"/>
                <w:szCs w:val="18"/>
              </w:rPr>
              <w:t>Number of new financial products developed, dedicated  to support value chain finance for women agripreneurs.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advocate to its stakeholders to develop at least one new financial product every year dedicated  to support value chain finance for women agripreneurs.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agripreneurs’ access to productive and transformative inputs, technologies and services strengthened</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women farmers in target areas, trained in the use of agricultural inputs and technologies to increase their productivity and resilience to climatic changes.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UN Women intends to support over 5000 women farmers in targeted areas under the Buy from Women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5352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2,947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of 2,947 is based on the summation number of 1,920 women from the Buy from Women project (based on the 60% of 3,200), plus the 1,027 direct women beneficiaries from the Joint Programme "Accelerating Progress Towards the Economic Empowerment of Rural Women" (JP-RWEE),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2.3.1C:  </w:t>
            </w:r>
            <w:r>
              <w:rPr>
                <w:rFonts w:ascii="[FontFamily: Name=Calibri]" w:hAnsi="[FontFamily: Name=Calibri]" w:cs="[FontFamily: Name=Calibri]" w:eastAsia="[FontFamily: Name=Calibri]"/>
                <w:sz w:val="18"/>
                <w:szCs w:val="18"/>
              </w:rPr>
              <w:t>Number of agricultural officers in target areas with skills to promote gender-responsive and  climate smart agricultural strategies and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 and UN Women intends to train 500 more FFS promoters (100 every year) by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Within the framework of the Joint Programme "Accelerating Progress Towards the Economic Empowerment of Rural Women" (JP-RWEE), in 2018, about 2,500  field farmers school (FFS) promoters were trained to promote climate smart agricultural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farmers benefit from dedicated production and marketing  platforms linking them to national, regional and international supply chains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women farmers registered on a digital information platform (BuyFromWomen) to link them to national and/or regional supply chains.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values are cumulative. In 2019, during the roll-out stage, an additional 1,000 farmers aim to be registered on the platform, and an additional 2,000 farmers per year thereafter.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2018, following the pilot phase, a total of 3,200 farmer profiles including 1920 women were registered on the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2.3.2B:  </w:t>
            </w:r>
            <w:r>
              <w:rPr>
                <w:rFonts w:ascii="[FontFamily: Name=Calibri]" w:hAnsi="[FontFamily: Name=Calibri]" w:cs="[FontFamily: Name=Calibri]" w:eastAsia="[FontFamily: Name=Calibri]"/>
                <w:sz w:val="18"/>
                <w:szCs w:val="18"/>
              </w:rPr>
              <w:t>Number of women farmers who signed forward contracts with buyers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values are cumulative over the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Implementing Partners'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19,365.00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122,802.00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67,563.00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823,437.00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94,153.00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47,856.00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259,009.00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2,256,991.00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39,365.00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27,198.00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472,802.00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182,563.00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2,353,437.00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67,000.00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154,153.00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855,847.00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99,365.00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87,856.00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912,144.00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33,198.00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966,802.00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441,572.00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4,610,428.00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a life free from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2023, People in Rwanda, particularly the most vulnerable, have increased resilience to both natural and man-made shocks for a life free from all forms of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Communities and other stakeholders are better able to prevent and respond to violence against women and girls and deliver essential services to victims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S/GBV victims that seek and receive timely support from response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Percentage of S/GBV cases reported that lead to convictions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78.2 %</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Percentage of women and girls aged 15-49 years who have ever experienced physical or sexual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Communities and other stakeholders are better able to prevent and respond to violence against women and girls and deliver essential services to victims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RDHS5 but the figure might  change with RDHS6 coming up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RDHS5 , National Institute of Statistics of Rwanda , Demographic and Health Survey 2015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awareness among communities to prevent and respond to S/GBV including available services  (health, social, justice, economic)</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individuals that have improved knowledge and awareness on GBV prevention and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authorities 2700 ; media :200 ; religious leaders :370 ; security organs :1200                                                                                                                                                                                                                    target year 2022 : Local authorities 4,000 ; media :400 ; religious leaders :650 ; security organs :2000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authorities 4,000 ; media :400 ; religious leaders :650 ; security organs :2000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2670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Baselines: 1700 Local authorities; 170 Religious leaders;  media: 0; 800 Security organ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of relevant institutions /service providers to provide quality services to S/GBV victims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service providers with strengthened capacities to respond to S/GBV cases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400 legal advocates; 500 investigators, 44 IOSCs &amp; (44doctors, 88 investigators, 44 psychologists, 44 GBV Officers; 150 Health centres; IZU: 100; Security Organs: 600; 1500 Local leaders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Legal advocates: 300; Investigators: 400; 44 IOSCs, Health Centres: 50; IZU: 50; Security organs: 200; Local leaders: 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2055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(RBA): 212 Legal advocates; RIB (129 investigators); IOSCs 20 (20doctors, 20 investigators, 22 psychologists&amp; 18GBV officers; 0 health centres; inshuti z'umuryango (IZU): 0; Local leaders: 1300; Security Organs (DASSOs):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Numberr of partners trained and supported to monitor, document and provide support to GBV survivors in the context of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Number of women and girls benefiting from GBV and livelihood service packages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teen mothers; 500 parent mothers; 2000 female GBV Victims to benefit legal aid and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271 Teen mothers; 271 parent mothers; 271 parent fathers; 904 female GBV victims benefiting from legal aid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in 2022: 2246 (371 teen mothers, 371 parent mothers, 371 parent fathers; 1404 female GBV Victims benefiting from legal aid and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846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171 teen mothers; 171 parent mothers; 504 female GBV Victims benefited from legal aid and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186,633.00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235,901.00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Attitudes and behaviours related to women's and girl's rights to enjoy spaces free from VAW improved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Proportion of women and girls, men and boys who agree that harassment and violence in public spaces is not acceptable under any circumstances, in the sites of intervention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Safe rural Public places project is expected to embark on social norms, and attitudes changes initiatives in 2021 in Tea Plantations and surrounding communities in Southern Province of Rwanda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men and boys at community level are mobilized in favour of respectful relationships, gender equality and safety in public spaces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community engagement activities addressing VAW in public spaces in the sites of intervention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No of women, girls and communities (disaggregated by sex) with improved skills and knowledge in prevention and response to sexual harassment and GBV in urban public spaceses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Transformative initiatives on GBV in public spaces developed and integrated into formal operating frameworks and procedures to increase safety for women and girls, men and boys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Nr of tools/research/strategies developed to prevent and respond to VAW in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No of local security staff  (disaggregated by sex) with skills and knowledge in prevention and response to sexual harassment and GBV in urban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321,633.00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370,901.00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607,633.00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656,901.00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b075603b5cfa416e" Type="http://schemas.openxmlformats.org/officeDocument/2006/relationships/styles" Target="/word/styles.xml"/><Relationship Id="Rd167e342ec46484a" Type="http://schemas.openxmlformats.org/officeDocument/2006/relationships/settings" Target="/word/settings.xml"/><Relationship Id="R93c8d94d8dd64247" Type="http://schemas.openxmlformats.org/officeDocument/2006/relationships/footer" Target="/word/footer2.xml"/><Relationship Id="R9d2cc383c35443c4" Type="http://schemas.openxmlformats.org/officeDocument/2006/relationships/footer" Target="/word/footer3.xml"/><Relationship Id="rId3" Type="http://schemas.openxmlformats.org/officeDocument/2006/relationships/customXml" Target="../customXml/item3.xml"/><Relationship Id="R79f2804448d84c7f" Type="http://schemas.openxmlformats.org/officeDocument/2006/relationships/numbering" Target="/word/numbering.xml"/><Relationship Id="rId2" Type="http://schemas.openxmlformats.org/officeDocument/2006/relationships/customXml" Target="../customXml/item2.xml"/><Relationship Id="rId1" Type="http://schemas.openxmlformats.org/officeDocument/2006/relationships/customXml" Target="../customXml/item1.xml"/><Relationship Id="R68a5da4d66bf4dc4" Type="http://schemas.openxmlformats.org/officeDocument/2006/relationships/image" Target="/word/media/e893d184-3d6c-4a4c-9a2a-1c2b8714be24.jpeg"/><Relationship Id="R3e31c396c6d547d4" Type="http://schemas.openxmlformats.org/officeDocument/2006/relationships/footer" Target="/word/footer1.xml"/><Relationship Id="R62dc1ebb47774c5f" Type="http://schemas.openxmlformats.org/officeDocument/2006/relationships/image" Target="/word/media/b4e97ec9-959a-4e6e-9f7c-70be56ea0240.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5289EDC-8B4C-4487-9803-FA7C61C0E9A3}"/>
</file>

<file path=customXml/itemProps2.xml><?xml version="1.0" encoding="utf-8"?>
<ds:datastoreItem xmlns:ds="http://schemas.openxmlformats.org/officeDocument/2006/customXml" ds:itemID="{AA76018C-37AF-4E01-BE4E-E86F8F673405}"/>
</file>

<file path=customXml/itemProps3.xml><?xml version="1.0" encoding="utf-8"?>
<ds:datastoreItem xmlns:ds="http://schemas.openxmlformats.org/officeDocument/2006/customXml" ds:itemID="{CD6EB812-CE2A-42A0-BCB6-F3B8383963F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