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2d4b876d41b44b69"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33f4ca23e3e640cf"/>
      <w:footerReference w:type="even" r:id="R19572739c53844d1"/>
      <w:footerReference w:type="first" r:id="Rc3dc1785233a40d4"/>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8d4624986c4bdf"/>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07448b15fef4c04"/>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Solomon Islands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5 Governance and Community Engagement By 2022, people and communities in the Pacific will contribute to and benefit from inclusive, informed and transparent decision making processes; accountable and responsive institutions; and improved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perceived as equally legitimate and effective political leaders as men (FPI WPEL Outcome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Percentage of women in leadership positions at sub-national level in the Solomon Islands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Inter-Parliamentary Union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community and civic understanding of, and support for, gender equality and women’s right to political participation (modified FPI WPEL Output 3.1)</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Improved participation of women organisations in decision-making processes related to peacebuilding, natural resource governance, and accountability mechanism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At-least 50% of the participants from women organisations feel satisfied with their involvement in decision-making processes related to peacebuilding, natural resource governance and accountability mechanism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At-least 20% of the participants from women organisations feel satisfied with their involvement in decision-making processes related to peacebuilding, natural resource governance and accountability mechanism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Limited engagement of youth and women forums in advocacy and decision-making processes related to peacebuilding, natural resource governance and accountability mechanism</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quantitative baseline will be determined after the baseline study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Grassroot women's organization with strengthened  capacities to provide Access to Justice information to rural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A2J Mission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Number of female have access to trainings to become prescribed persons and Authorized Justices in the provinces.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A2J Refresher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413,597.00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948,599.00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413,597.00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948,599.00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413,597.00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948,599.00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3 Sustainable and Inclusive Economic Empowerment By 2022, people in the Pacific in particular youth, women and vulnerable groups, benefit from inclusive and sustainable economic development that creates decent jobs, reduces multi–dimensional poverty and inequalities, and promotes economic empowerment Outcome 5 Governance and Community Engagement By 2022, people and communities in the Pacific will contribute to and benefit from inclusive, informed and transparent decision making processes; accountable and responsive institutions; and improved access to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Inclusive, effective and representative marketplace groups are created and grow, further enabled and recognized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1.1</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Number of marketplaces with effective and sustainable MVAs.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marketplaces where MVAs are accountable to their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erports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 Associations (MVAs) are established and are strong and representative organisations for women market vendors</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MVA Executive Committees with at least 50% women in leadership roles.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MVA election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516,377.00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MVA Executive Committees lead their MVAs and represent the interests of market vendors with local government and market management.</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MVAs that demonstrate inclusive and representative actions through provision of services to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MVAs that demonstrate financial sustainability through the development of strategic plans, resource mobilisation strategies and sound financial management.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94,536.00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94,536.00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Rural and urban  market vendors actively participate in MVAs.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MVA members (increasing membership demonstrates increasing confidence in MVA).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socio-economic security of urban and rural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women market vendors who report improved economic status based on increased income, savings or financial capital (loans, credit, savings, investments)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market vendors (in pilot) who report increased shared decision-making in the household on matters of finance, and similar.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have increased agency over financial decision-making in their business  and at the household level</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market vendors (in pilot) who report agreed home finance plan with spouse / family members.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350,207.00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access of market vendors to gender inclusive financial and social services including digital services, access to savings, credit, payments, micro insurance, and other services/livelihood protection actions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market vendors  who access improved and accessible financial  and/or livelihood protection products for small and micro-businesses.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UNDP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313,365.00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 vendors business is improved and more resilient as a result of an increase in business and financial skills (savings and recording) and access to digital literacy and online platforms</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market vendors reached with financial and/or business skills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94,536.00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94,536.00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 in economic and sustainable livelihoods through improved resilient and climate smart agricultural practices and value adding</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Number of market vendors engaging in value-adding activities / improved agricultural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social security for market vendors through improved access to health, safety and other social services</w:t>
            </w:r>
          </w:p>
        </w:tc>
        <w:tc>
          <w:tcPr>
            <w:tcW w:w="5000" w:type="dxa"/>
          </w:tcPr>
          <w:p>
            <w:pPr/>
            <w:r>
              <w:rPr>
                <w:b/>
                <w:rFonts w:ascii="[FontFamily: Name=Calibri]" w:hAnsi="[FontFamily: Name=Calibri]" w:cs="[FontFamily: Name=Calibri]" w:eastAsia="[FontFamily: Name=Calibri]"/>
                <w:sz w:val="18"/>
                <w:szCs w:val="18"/>
              </w:rPr>
              <w:t xml:space="preserve">Indicator 2.2.5A:  </w:t>
            </w:r>
            <w:r>
              <w:rPr>
                <w:rFonts w:ascii="[FontFamily: Name=Calibri]" w:hAnsi="[FontFamily: Name=Calibri]" w:cs="[FontFamily: Name=Calibri]" w:eastAsia="[FontFamily: Name=Calibri]"/>
                <w:sz w:val="18"/>
                <w:szCs w:val="18"/>
              </w:rPr>
              <w:t>Number of market vendors who report increased access to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governments, market management and other decision makers are gender-responsive, effective and accountable to women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2.3A:  </w:t>
            </w:r>
            <w:r>
              <w:rPr>
                <w:rFonts w:ascii="[FontFamily: Name=Calibri]" w:hAnsi="[FontFamily: Name=Calibri]" w:cs="[FontFamily: Name=Calibri]" w:eastAsia="[FontFamily: Name=Calibri]"/>
                <w:sz w:val="18"/>
                <w:szCs w:val="18"/>
              </w:rPr>
              <w:t>Number of local level governments (councils) where there is evidence of increased gender mainstreaming in local decision-making process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e.g. amendments to bylaws, ordinances,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Strengthened capacity and commitment of local government and market management to draft, adopt and implement gender-responsive frameworks and engage in gender-responsive and resilient approaches to management and operations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marketplaces in the Solomon Islands that UN Women supports where local level government and market management have held consultative processes which included women and 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PMC and 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201,429.00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539,627.00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positive engagement and communications between MVAs, local governments, market management, and other decision-makers</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marketplaces with mechanisms in place aimed at improving communications between market management, MVAs and WMV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Physical market structures and operating systems are improved to make markets more gender-responsive, safer, more accessible and sustainable, resilient to disaster risks and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2.4A:  </w:t>
            </w:r>
            <w:r>
              <w:rPr>
                <w:rFonts w:ascii="[FontFamily: Name=Calibri]" w:hAnsi="[FontFamily: Name=Calibri]" w:cs="[FontFamily: Name=Calibri]" w:eastAsia="[FontFamily: Name=Calibri]"/>
                <w:sz w:val="18"/>
                <w:szCs w:val="18"/>
              </w:rPr>
              <w:t>Number of marketplaces with improved, gender-responsive physical environments that better meets the health, safety, universal access, and convenience needs of women market vendors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Marketplace environment is more resilient to disaster risks, including climate change and pandemics</w:t>
            </w:r>
          </w:p>
        </w:tc>
        <w:tc>
          <w:tcPr>
            <w:tcW w:w="5000" w:type="dxa"/>
          </w:tcPr>
          <w:p>
            <w:pPr/>
            <w:r>
              <w:rPr>
                <w:b/>
                <w:rFonts w:ascii="[FontFamily: Name=Calibri]" w:hAnsi="[FontFamily: Name=Calibri]" w:cs="[FontFamily: Name=Calibri]" w:eastAsia="[FontFamily: Name=Calibri]"/>
                <w:sz w:val="18"/>
                <w:szCs w:val="18"/>
              </w:rPr>
              <w:t xml:space="preserve">Indicator 2.4.1A:  </w:t>
            </w:r>
            <w:r>
              <w:rPr>
                <w:rFonts w:ascii="[FontFamily: Name=Calibri]" w:hAnsi="[FontFamily: Name=Calibri]" w:cs="[FontFamily: Name=Calibri]" w:eastAsia="[FontFamily: Name=Calibri]"/>
                <w:sz w:val="18"/>
                <w:szCs w:val="18"/>
              </w:rPr>
              <w:t>Number of marketplaces that have agreed plans in place to prepare and respond to disasters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Marketplace environments are improved by becoming more safe, resilient secure and accessible</w:t>
            </w:r>
          </w:p>
        </w:tc>
        <w:tc>
          <w:tcPr>
            <w:tcW w:w="5000" w:type="dxa"/>
          </w:tcPr>
          <w:p>
            <w:pPr/>
            <w:r>
              <w:rPr>
                <w:b/>
                <w:rFonts w:ascii="[FontFamily: Name=Calibri]" w:hAnsi="[FontFamily: Name=Calibri]" w:cs="[FontFamily: Name=Calibri]" w:eastAsia="[FontFamily: Name=Calibri]"/>
                <w:sz w:val="18"/>
                <w:szCs w:val="18"/>
              </w:rPr>
              <w:t xml:space="preserve">Indicator 2.4.2A:  </w:t>
            </w:r>
            <w:r>
              <w:rPr>
                <w:rFonts w:ascii="[FontFamily: Name=Calibri]" w:hAnsi="[FontFamily: Name=Calibri]" w:cs="[FontFamily: Name=Calibri]" w:eastAsia="[FontFamily: Name=Calibri]"/>
                <w:sz w:val="18"/>
                <w:szCs w:val="18"/>
              </w:rPr>
              <w:t>Number of marketplaces that have improved working conditions and environments including improved safety, security, health and hygiene, and disability access.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Municipal council reports under infrastructure projects and 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758,500.00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640,913.00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412,600.00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196,936.00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778,108.00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201,429.00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95,198.00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559,627.00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823,500.00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868,730.00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1,187,708.00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191,842.00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553,868.00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2,802,148.00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Related UNPS outcomes: Outcome 2 Gender equality 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 Outcome 4 Equitable Basic Services By 2022, more people in the Pacific, particularly the most vulnerable, have increased equitable access to and utilisation of inclusive, resilient, and quality basic services Outcome 5 Governance and Community Engagement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especially from particular groups (with disabilities, rural, sexual and gender minorities) from target countries, who experience violence have access to quality essential services (health, social service, police and justice) to recover from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 of referrals by services providers (police, health, justice, etc.) within the SAFENET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SAFENET Data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actors (government and CSO) develop and implement best practice standards and guidelines for multisector services.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inter-agency SOP signed by all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SAFENET SOPS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new VAWG guidelines, protocols and materials produced that aligned with Essential Services best practice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1. SAFENET Solomon Islands Gender-based Violence Administrative Data Information Sharing Protocol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 Malaita Christian Care Centre Shelter Guidelines for Responding to cases of Gender Based Violence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 •</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 xml:space="preserve">Family Support Centre Supervision and Debriefing Guidelines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 COVID-19 Community Response and Referral Guideline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Percentage of increased overall technical capacity of the SAFENET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SAFENET group in Solomon Islands received an average score of 73.14% measured as baseline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189,076.00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455,598.00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448,125.00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493,398.00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1,936,197.00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Frontline service providers have strengthened capacity to provide quality services to gender-based violence survivors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Procedures for accreditation counsellor developed and consulted with relevant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Proceudres drafted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completed and endorsed by Cabinet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adopted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reviewed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Procedures updated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Completed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Solomon Islands Domestic Violence Counselling Guidelines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Number of GBV counsellors registered in Solomon Islands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unchanged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Registry opens for counsellor registration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Registration Authority Lists of DV Counselors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Percentage of increased overall technical capacity of select crisis centres on response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EVAW Technical Hub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105,211.00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573,111.00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580,625.00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678,398.00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2,509,308.00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339,476.00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580,625.00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678,398.00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2,509,308.00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contribute and have greater influence in building sustainable peace and resilience, and benefit equally from the prevention of natural disasters and conflicts and from humanitarian action.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Climate change, disaster resilience and environment protection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people and ecosystems in the Pacific are more resilient to the impacts of climate change, climate variability and disasters; and environmental protection is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2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gender equality is advanced in the Pacific, where more women and girls are empowered and enjoy equal opportunities and treatment in social, economic and political spheres, contribute to and benefit from national development, and live a life free from violence and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tcPr>
          <w:p>
            <w:pP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a08d4624986c4bdf" Type="http://schemas.openxmlformats.org/officeDocument/2006/relationships/image" Target="/word/media/480327c1-55bf-472d-ad7e-daf830bb55c0.jpeg"/><Relationship Id="rId3" Type="http://schemas.openxmlformats.org/officeDocument/2006/relationships/customXml" Target="../customXml/item3.xml"/><Relationship Id="R64bf8256a81946f3" Type="http://schemas.openxmlformats.org/officeDocument/2006/relationships/numbering" Target="/word/numbering.xml"/><Relationship Id="rId2" Type="http://schemas.openxmlformats.org/officeDocument/2006/relationships/customXml" Target="../customXml/item2.xml"/><Relationship Id="Rb537e15c537246c7" Type="http://schemas.openxmlformats.org/officeDocument/2006/relationships/styles" Target="/word/styles.xml"/><Relationship Id="Rf79ba384bcd347b1" Type="http://schemas.openxmlformats.org/officeDocument/2006/relationships/settings" Target="/word/settings.xml"/><Relationship Id="Rc07448b15fef4c04" Type="http://schemas.openxmlformats.org/officeDocument/2006/relationships/image" Target="/word/media/ae228246-db6e-4f47-a9e2-b2bd9fca5395.jpeg"/><Relationship Id="R33f4ca23e3e640cf" Type="http://schemas.openxmlformats.org/officeDocument/2006/relationships/footer" Target="/word/footer1.xml"/><Relationship Id="rId1" Type="http://schemas.openxmlformats.org/officeDocument/2006/relationships/customXml" Target="../customXml/item1.xml"/><Relationship Id="R19572739c53844d1" Type="http://schemas.openxmlformats.org/officeDocument/2006/relationships/footer" Target="/word/footer2.xml"/><Relationship Id="Rc3dc1785233a40d4"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80B6F226-282A-4540-8B7F-4DF98FDE742A}"/>
</file>

<file path=customXml/itemProps2.xml><?xml version="1.0" encoding="utf-8"?>
<ds:datastoreItem xmlns:ds="http://schemas.openxmlformats.org/officeDocument/2006/customXml" ds:itemID="{1531466C-BC24-4AC9-B0A1-18713A82873F}"/>
</file>

<file path=customXml/itemProps3.xml><?xml version="1.0" encoding="utf-8"?>
<ds:datastoreItem xmlns:ds="http://schemas.openxmlformats.org/officeDocument/2006/customXml" ds:itemID="{97544130-762C-4154-970E-D034AF48508B}"/>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