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b8a5ce0a402e406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0301386d8123416b"/>
      <w:footerReference w:type="even" r:id="R7edc88934ff74b5a"/>
      <w:footerReference w:type="first" r:id="R779b6f15ad2d4ee9"/>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2abb89e7b64924"/>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6df6cfd5364475"/>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Somalia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to, and have influence in, building sustainable peace and resilience and benefit equally from the prevention of conflicts and disasters, and from humanitarian action</w:t>
            </w:r>
            <w:r>
              <w:rPr>
                <w:b/>
                <w:rFonts w:ascii="[FontFamily: Name=Calibri]" w:hAnsi="[FontFamily: Name=Calibri]" w:cs="[FontFamily: Name=Calibri]" w:eastAsia="[FontFamily: Name=Calibri]"/>
                <w:sz w:val="18"/>
                <w:szCs w:val="18"/>
              </w:rPr>
              <w:br/>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UNCF Result  2: Security and Rule of Law (UNW SP Impact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Respect, protection, and promotion of human rights, gender equality, tolerance, climate security, and environmental governance would be sustained by strengthened Security and Rule of Law institutions and improved accountability mechanisms and legal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Proportion of the population who have experienced a dispute in the past two years and who accessed a formal or informal dispute resolution mechanism, by type of mechanism and disaggregated by gender and displacement status (Indicator A of UNCF 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Proportion of citizens who believe that decision-making processes are inclusive and that government is responsive to citizens’ needs (Indicator C of UNCF 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and gender-responsiveness of the existing rule of law and security sector institutions improved, particularly in handling cases of conflict-related sexual violence (CRSV)</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 Budget allocated to relevant FGS and FMS institutions, including MOWHRD, other justice-sector institutions to address conflict-related sexual and gender-based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97,293.00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197,293.00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Women-led conflict early-warning system and preparedness plans developed and operationalized.</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 Community-level early warning mechanisms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per UN Women and Line Ministry Progress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 Capacity development and refresher trainings for CSOs, government stakeholders on early warning      mechanisms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199,495.00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149,192.00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348,687.00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justice institutions are accessible to and deliver for women and girls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SYSTEM COORDINATION FOR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4.5A:  </w:t>
            </w:r>
            <w:r>
              <w:rPr>
                <w:rFonts w:ascii="[FontFamily: Name=Calibri]" w:hAnsi="[FontFamily: Name=Calibri]" w:cs="[FontFamily: Name=Calibri]" w:eastAsia="[FontFamily: Name=Calibri]"/>
                <w:sz w:val="18"/>
                <w:szCs w:val="18"/>
              </w:rPr>
              <w:t>a. Proportion of seats held by women in (a) Federal and (b) Federal Member State parliaments (Indicator A of UNCF 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2022 elections reports in Somalia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system coherently and systematically contributes to progress on gender equality and the empowerment of women and girls</w:t>
            </w:r>
          </w:p>
        </w:tc>
        <w:tc>
          <w:tcPr>
            <w:tcW w:w="5000" w:type="dxa"/>
          </w:tcPr>
          <w:p>
            <w:pPr/>
          </w:p>
        </w:tc>
        <w:tc>
          <w:tcPr>
            <w:tcW w:w="1420" w:type="dxa"/>
          </w:tcPr>
          <w:p>
            <w:pP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UN-Women in skills or abilities and capacities of individuals or institutions and/or the availability of new products and services contributing to UN system coordination for gender equality</w:t>
            </w:r>
          </w:p>
        </w:tc>
        <w:tc>
          <w:tcPr>
            <w:tcW w:w="5000" w:type="dxa"/>
          </w:tcPr>
          <w:p>
            <w:pPr/>
          </w:p>
        </w:tc>
        <w:tc>
          <w:tcPr>
            <w:tcW w:w="1420" w:type="dxa"/>
          </w:tcPr>
          <w:p>
            <w:pPr/>
            <w:r>
              <w:rPr>
                <w:rFonts w:ascii="[FontFamily: Name=Calibri]" w:hAnsi="[FontFamily: Name=Calibri]" w:cs="[FontFamily: Name=Calibri]" w:eastAsia="[FontFamily: Name=Calibri]"/>
                <w:sz w:val="18"/>
                <w:szCs w:val="18"/>
              </w:rPr>
              <w:t>17,000.00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339,495.00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346,485.00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685,980.00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4.5 (core and non-core)</w:t>
            </w:r>
          </w:p>
        </w:tc>
        <w:tc>
          <w:tcPr>
            <w:tcW w:w="1420" w:type="dxa"/>
          </w:tcPr>
          <w:p>
            <w:pPr/>
            <w:r>
              <w:rPr>
                <w:rFonts w:ascii="[FontFamily: Name=Calibri]" w:hAnsi="[FontFamily: Name=Calibri]" w:cs="[FontFamily: Name=Calibri]" w:eastAsia="[FontFamily: Name=Calibri]"/>
                <w:sz w:val="18"/>
                <w:szCs w:val="18"/>
              </w:rPr>
              <w:t>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346,495.00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346,485.00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692,980.00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 making and women and girls benefit from gender-responsive governance</w:t>
            </w:r>
            <w:r>
              <w:rPr>
                <w:b/>
                <w:rFonts w:ascii="[FontFamily: Name=Calibri]" w:hAnsi="[FontFamily: Name=Calibri]" w:cs="[FontFamily: Name=Calibri]" w:eastAsia="[FontFamily: Name=Calibri]"/>
                <w:sz w:val="18"/>
                <w:szCs w:val="18"/>
              </w:rPr>
              <w:br/>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UNCF Result area  1 Inclusive, Accountable Politics &amp; Reconciliation  (UNW SP Impact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Somalis, particularly women and female youth, benefit from and participate in functional, inclusive, accountable and transparent democratic systems across all levels of government and governmental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and responsive infrastructures for peace to support women’s participation and leadership in national and local level peace processes are established</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208,128.00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648,128.00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Operationalization of NAP on UNSCR 1325 to promote women’s meaningful participation in peacebuilding at the national and local levels.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557,362.00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821,362.00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leaders, peace networks, and forums (Hayaanka Nabadda-Hope for Peace Networks) were established to engage in peace mediation, reconciliation, and social cohesion at  community levels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1,258,362.00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704,790.00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1,963,152.00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1,258,362.00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704,790.00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1,963,152.00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UNCF result  3-  Economic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A:  An integrated national programme for human capital development is established, increasing access to market-based skills for all – including the most marginalized and vulnerable groups – and safeguarding their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5.1A:  </w:t>
            </w:r>
            <w:r>
              <w:rPr>
                <w:rFonts w:ascii="[FontFamily: Name=Calibri]" w:hAnsi="[FontFamily: Name=Calibri]" w:cs="[FontFamily: Name=Calibri]" w:eastAsia="[FontFamily: Name=Calibri]"/>
                <w:sz w:val="18"/>
                <w:szCs w:val="18"/>
              </w:rPr>
              <w:t>Vulnerable employment among women (Indicator C of UNCF 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5.1.1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3.1.Crisis-affected and at-risk women have enhanced access to livelihood skills, training, tools, and technologies in relation to climate-smart agriculture</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3.2: Women micro and small entrepreneurs are supported to set up and improve their operations in agriculture and non-agricultural sectors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3.3: Women’s access to savings and credit is enhanced</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B: An integrated national programme for human capital development is established, increasing access to market-based skills for all – including the most marginalized and vulnerable groups – and safeguarding their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5.2.1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5.1: Initiatives promoting positive gender norms in support of women's leadership and protection from violence are scaled up with the support of humanitarian actors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5.2:  Refugee, IDP women and women in host communities have increased capacities and skills to participate in and lead settlement management and local decision-making processes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5.1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5.2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5</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4cbb18788e474e4f" Type="http://schemas.openxmlformats.org/officeDocument/2006/relationships/styles" Target="/word/styles.xml"/><Relationship Id="R0301386d8123416b" Type="http://schemas.openxmlformats.org/officeDocument/2006/relationships/footer" Target="/word/footer1.xml"/><Relationship Id="R0b2abb89e7b64924" Type="http://schemas.openxmlformats.org/officeDocument/2006/relationships/image" Target="/word/media/56667483-7359-4f34-bfe6-315bc28cab88.jpeg"/><Relationship Id="rId3" Type="http://schemas.openxmlformats.org/officeDocument/2006/relationships/customXml" Target="../customXml/item3.xml"/><Relationship Id="R779b6f15ad2d4ee9" Type="http://schemas.openxmlformats.org/officeDocument/2006/relationships/footer" Target="/word/footer3.xml"/><Relationship Id="R7edc88934ff74b5a" Type="http://schemas.openxmlformats.org/officeDocument/2006/relationships/footer" Target="/word/footer2.xml"/><Relationship Id="rId2" Type="http://schemas.openxmlformats.org/officeDocument/2006/relationships/customXml" Target="../customXml/item2.xml"/><Relationship Id="Rbb56bbe964f94189" Type="http://schemas.openxmlformats.org/officeDocument/2006/relationships/numbering" Target="/word/numbering.xml"/><Relationship Id="rId1" Type="http://schemas.openxmlformats.org/officeDocument/2006/relationships/customXml" Target="../customXml/item1.xml"/><Relationship Id="R4b6df6cfd5364475" Type="http://schemas.openxmlformats.org/officeDocument/2006/relationships/image" Target="/word/media/5f70c063-733c-450d-a477-601c1ceb1008.jpeg"/><Relationship Id="R8702374870ce4b2a"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90AFDA0E-EAE9-44ED-8C19-FE1D0E30D9A4}"/>
</file>

<file path=customXml/itemProps2.xml><?xml version="1.0" encoding="utf-8"?>
<ds:datastoreItem xmlns:ds="http://schemas.openxmlformats.org/officeDocument/2006/customXml" ds:itemID="{3AC9B973-46AA-4D81-9C61-47666FB08D69}"/>
</file>

<file path=customXml/itemProps3.xml><?xml version="1.0" encoding="utf-8"?>
<ds:datastoreItem xmlns:ds="http://schemas.openxmlformats.org/officeDocument/2006/customXml" ds:itemID="{297AD286-2FA3-4519-AA54-ED9EAB1BC24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