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909cc08ffbef4f95"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9aceb5cd1ccc4480"/>
      <w:footerReference w:type="even" r:id="Rb04436723c6e4313"/>
      <w:footerReference w:type="first" r:id="R49a31562c7d641c4"/>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cfd961cf804823"/>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fef6c8864544fe"/>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2019-2022</w:t>
      </w:r>
    </w:p>
    <w:p>
      <w:pPr>
        <w:jc w:val="center"/>
      </w:pPr>
      <w:r>
        <w:rPr>
          <w:b/>
          <w:caps/>
          <w:rFonts w:ascii="[FontFamily: Name=Calibri]" w:hAnsi="[FontFamily: Name=Calibri]" w:cs="[FontFamily: Name=Calibri]" w:eastAsia="[FontFamily: Name=Calibri]"/>
          <w:sz w:val="32"/>
          <w:szCs w:val="32"/>
          <w:color w:val="009CDB"/>
        </w:rPr>
        <w:t>UN WOMEN Thailand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2/11/2022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A comprehensive and dynamic set of global norms, policies and standards on gender equality and women's empowerment is in place and is applied through action by Government and other stakeholders at all levels </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2021, inclusive systems, structures and processes advance sustainable people-centred, equitable development for all people in Thailand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comprehensive and dynamic set of global norms, policies and standards on gender equality and women's empowerment is in place and is applied through action by Governments and other stakeholders at all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Number of inter governmental dialogues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6.1B:  </w:t>
            </w:r>
            <w:r>
              <w:rPr>
                <w:rFonts w:ascii="[FontFamily: Name=Calibri]" w:hAnsi="[FontFamily: Name=Calibri]" w:cs="[FontFamily: Name=Calibri]" w:eastAsia="[FontFamily: Name=Calibri]"/>
                <w:sz w:val="18"/>
                <w:szCs w:val="18"/>
              </w:rPr>
              <w:t>Number of policy advocacy / initiatives to promote localization of GEWE, SDG, GEF, CEDAW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Governments, CSOs, Gender Equality advocates and the UN system understand, influence and participate in inter-governmental processes related to GEEW</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Number of inter governmental dialogues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Collaboration with the Department of ASEAN Affairs and ACWC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Collaboration with the Department of ASEAN Affairs and ACWC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Collaboration with the Department of ASEAN Affairs and ACWC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6.2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Legal frameworks and policies to advance women's leadership, women's rights to participate in decision making at national and local levels, and women's access to justice are reformed/ adopted and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6.2A:  </w:t>
            </w:r>
            <w:r>
              <w:rPr>
                <w:rFonts w:ascii="[FontFamily: Name=Calibri]" w:hAnsi="[FontFamily: Name=Calibri]" w:cs="[FontFamily: Name=Calibri]" w:eastAsia="[FontFamily: Name=Calibri]"/>
                <w:sz w:val="18"/>
                <w:szCs w:val="18"/>
              </w:rPr>
              <w:t>Number of consultations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and annual reports, Policy recommendations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at national and local levels fully participate, lead and engage in political decision making process and local governance.</w:t>
            </w:r>
          </w:p>
        </w:tc>
        <w:tc>
          <w:tcPr>
            <w:tcW w:w="5000" w:type="dxa"/>
          </w:tcPr>
          <w:p>
            <w:pPr/>
            <w:r>
              <w:rPr>
                <w:b/>
                <w:rFonts w:ascii="[FontFamily: Name=Calibri]" w:hAnsi="[FontFamily: Name=Calibri]" w:cs="[FontFamily: Name=Calibri]" w:eastAsia="[FontFamily: Name=Calibri]"/>
                <w:sz w:val="18"/>
                <w:szCs w:val="18"/>
              </w:rPr>
              <w:t xml:space="preserve">Indicator 6.2.1A:  </w:t>
            </w:r>
            <w:r>
              <w:rPr>
                <w:rFonts w:ascii="[FontFamily: Name=Calibri]" w:hAnsi="[FontFamily: Name=Calibri]" w:cs="[FontFamily: Name=Calibri]" w:eastAsia="[FontFamily: Name=Calibri]"/>
                <w:sz w:val="18"/>
                <w:szCs w:val="18"/>
              </w:rPr>
              <w:t>Number of gender advocates and politicians attending the consultations/ workshops who demonstrate better understanding of benefits and challenges of special measures and gender policies in electoral management/ relevant laws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Through series of consultations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Through series of consultation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National Consultations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and annual reports, Policy recommendations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of multi-disciplinary team and women's machinery to implement laws and policies to protect women and girls is strengthened to promote access to justice and the rule of law and to end gender based violence.</w:t>
            </w:r>
          </w:p>
        </w:tc>
        <w:tc>
          <w:tcPr>
            <w:tcW w:w="5000" w:type="dxa"/>
          </w:tcPr>
          <w:p>
            <w:pPr/>
            <w:r>
              <w:rPr>
                <w:b/>
                <w:rFonts w:ascii="[FontFamily: Name=Calibri]" w:hAnsi="[FontFamily: Name=Calibri]" w:cs="[FontFamily: Name=Calibri]" w:eastAsia="[FontFamily: Name=Calibri]"/>
                <w:sz w:val="18"/>
                <w:szCs w:val="18"/>
              </w:rPr>
              <w:t xml:space="preserve">Indicator 6.2.2A:  </w:t>
            </w:r>
            <w:r>
              <w:rPr>
                <w:rFonts w:ascii="[FontFamily: Name=Calibri]" w:hAnsi="[FontFamily: Name=Calibri]" w:cs="[FontFamily: Name=Calibri]" w:eastAsia="[FontFamily: Name=Calibri]"/>
                <w:sz w:val="18"/>
                <w:szCs w:val="18"/>
              </w:rPr>
              <w:t>Number of women from civil society and communities trained on gender based violence, human trafficking and criminal justice system in protection of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and annual reports, Policy recommendations to the government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leaders and women's organizations have enhanced capacities and opportunities to participate in local development initiatives and play greater roles in promoting peaceful, cohesive and resilient communities</w:t>
            </w:r>
          </w:p>
        </w:tc>
        <w:tc>
          <w:tcPr>
            <w:tcW w:w="5000" w:type="dxa"/>
          </w:tcPr>
          <w:p>
            <w:pPr/>
            <w:r>
              <w:rPr>
                <w:b/>
                <w:rFonts w:ascii="[FontFamily: Name=Calibri]" w:hAnsi="[FontFamily: Name=Calibri]" w:cs="[FontFamily: Name=Calibri]" w:eastAsia="[FontFamily: Name=Calibri]"/>
                <w:sz w:val="18"/>
                <w:szCs w:val="18"/>
              </w:rPr>
              <w:t xml:space="preserve">Indicator 6.2.3A:  </w:t>
            </w:r>
            <w:r>
              <w:rPr>
                <w:rFonts w:ascii="[FontFamily: Name=Calibri]" w:hAnsi="[FontFamily: Name=Calibri]" w:cs="[FontFamily: Name=Calibri]" w:eastAsia="[FontFamily: Name=Calibri]"/>
                <w:sz w:val="18"/>
                <w:szCs w:val="18"/>
              </w:rPr>
              <w:t>Consultations, trainings, capacity development workshops to test and upscale new approaches to implement n NAP WPS, including conflict prevention at national level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and annual reports, Policy briefs submitted to the government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6.2.3B:  </w:t>
            </w:r>
            <w:r>
              <w:rPr>
                <w:rFonts w:ascii="[FontFamily: Name=Calibri]" w:hAnsi="[FontFamily: Name=Calibri]" w:cs="[FontFamily: Name=Calibri]" w:eastAsia="[FontFamily: Name=Calibri]"/>
                <w:sz w:val="18"/>
                <w:szCs w:val="18"/>
              </w:rPr>
              <w:t>Number of local women-led initiatives and knowledge tools translated into practice to promote social cohesion and resilient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and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6.2.3C:  </w:t>
            </w:r>
            <w:r>
              <w:rPr>
                <w:rFonts w:ascii="[FontFamily: Name=Calibri]" w:hAnsi="[FontFamily: Name=Calibri]" w:cs="[FontFamily: Name=Calibri]" w:eastAsia="[FontFamily: Name=Calibri]"/>
                <w:sz w:val="18"/>
                <w:szCs w:val="18"/>
              </w:rPr>
              <w:t>Number of local women participating in capacity building activities who demonstrate enhanced understanding/ capacities to influence peace and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and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6.2.3D:  </w:t>
            </w:r>
            <w:r>
              <w:rPr>
                <w:rFonts w:ascii="[FontFamily: Name=Calibri]" w:hAnsi="[FontFamily: Name=Calibri]" w:cs="[FontFamily: Name=Calibri]" w:eastAsia="[FontFamily: Name=Calibri]"/>
                <w:sz w:val="18"/>
                <w:szCs w:val="18"/>
              </w:rPr>
              <w:t>Percentage of State actors at national and sub-national level who report increased skills/willingness to elaborate/strengthen, implement, and measure policies and programmes to promote WPS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during the inception phase.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report and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Royal Thai Government, in collaboration with civil society, will be better able to implement actions to prevent and respond to violence against women and girls.</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Goal: Promoting anti-corruption, inclusive engagement, and social cohesion: Strategy 5: Security, Strategy 6: Improved effectiveness and good governance in administration.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Laws, policies and strategies adopted and implemented in line with international standards and informed by voices of women survivors of violence to prevent and respond to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2.3.1 Number of users of community-based and women-led networks supported by UN Women active in preventing VAW and trafficking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User registries Quantitative calculation based on technical progress reports of implementing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2.3.2 Number of women migrants who are provided with information by networks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User registries Quantitative calculation based on technical progress reports of implementing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3.1C:  </w:t>
            </w:r>
            <w:r>
              <w:rPr>
                <w:rFonts w:ascii="[FontFamily: Name=Calibri]" w:hAnsi="[FontFamily: Name=Calibri]" w:cs="[FontFamily: Name=Calibri]" w:eastAsia="[FontFamily: Name=Calibri]"/>
                <w:sz w:val="18"/>
                <w:szCs w:val="18"/>
              </w:rPr>
              <w:t>2.4.1. Number of women migrants who receive assistance from front-line service providers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User registries Quantitative calculation based on technical progress reports of implementing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3.1D:  </w:t>
            </w:r>
            <w:r>
              <w:rPr>
                <w:rFonts w:ascii="[FontFamily: Name=Calibri]" w:hAnsi="[FontFamily: Name=Calibri]" w:cs="[FontFamily: Name=Calibri]" w:eastAsia="[FontFamily: Name=Calibri]"/>
                <w:sz w:val="18"/>
                <w:szCs w:val="18"/>
              </w:rPr>
              <w:t>2.1 Extent to which national laws, policies, plans and strategies are in-line with the normative frameworks on prevention and response to violence against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Yr 2021 target is 1. Accumulative target Yr 2020-2021 is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Yr 2022 target is 1. Accumulative target Yr 2020-2022 is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User registries Quantitative calculation based on technical progress reports of implementing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access to information, coordinated quality services and supportive networks (local, national and regional groups) are strengthened for WMWs, including through survivor-centered laws, policies and research.</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2.3.1 Number of users of community-based and women-led networks supported by UN Women active in preventing VAW and trafficking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Year 2019 target number 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Year 2020 target number 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Accumulative Yr 2019 - 2021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Accumulative Yr 2019-2022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User registries Quantitative calculation based on technical progress reports of implementing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3.1.1B:  </w:t>
            </w:r>
            <w:r>
              <w:rPr>
                <w:rFonts w:ascii="[FontFamily: Name=Calibri]" w:hAnsi="[FontFamily: Name=Calibri]" w:cs="[FontFamily: Name=Calibri]" w:eastAsia="[FontFamily: Name=Calibri]"/>
                <w:sz w:val="18"/>
                <w:szCs w:val="18"/>
              </w:rPr>
              <w:t>2.3.2 Number of women migrants who are provided with information by networks.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number in 2019 is 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Target number in 2020 is 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number in 2021 is 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Accumulative Year 2019 - 2021 is 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User registries Quantitative calculation based on technical progress reports of implementing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3.1.1C:  </w:t>
            </w:r>
            <w:r>
              <w:rPr>
                <w:rFonts w:ascii="[FontFamily: Name=Calibri]" w:hAnsi="[FontFamily: Name=Calibri]" w:cs="[FontFamily: Name=Calibri]" w:eastAsia="[FontFamily: Name=Calibri]"/>
                <w:sz w:val="18"/>
                <w:szCs w:val="18"/>
              </w:rPr>
              <w:t>2.4.1. Number of women migrants who receive assistance from front-line service providers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2019 target number is 50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2020 target number is 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2021 target number is 80; Accumulative Year 2019 - 2021 is 210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Quantitative calculation based on technical progress reports of implementing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3.1.1D:  </w:t>
            </w:r>
            <w:r>
              <w:rPr>
                <w:rFonts w:ascii="[FontFamily: Name=Calibri]" w:hAnsi="[FontFamily: Name=Calibri]" w:cs="[FontFamily: Name=Calibri]" w:eastAsia="[FontFamily: Name=Calibri]"/>
                <w:sz w:val="18"/>
                <w:szCs w:val="18"/>
              </w:rPr>
              <w:t>2.2.1: Number of information systems strengthened for women migrants who access support services (health, welfare, police, justice) for survivors of violence and trafficking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Yr 2022 target is 1. Accumulative value is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User registries Quantitative calculation based on technical progress reports of implementing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3.1.1E:  </w:t>
            </w:r>
            <w:r>
              <w:rPr>
                <w:rFonts w:ascii="[FontFamily: Name=Calibri]" w:hAnsi="[FontFamily: Name=Calibri]" w:cs="[FontFamily: Name=Calibri]" w:eastAsia="[FontFamily: Name=Calibri]"/>
                <w:sz w:val="18"/>
                <w:szCs w:val="18"/>
              </w:rPr>
              <w:t>2.2.2: Number of referral mechanisms for follow-up services for women migrants by front line service providers.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Yr 2020 target is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Yr 2021 target is 1. Accumulative Yr 2020-2021 target is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User registries Quantitative calculation based on technical progress reports of implementing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3.1.1F:  </w:t>
            </w:r>
            <w:r>
              <w:rPr>
                <w:rFonts w:ascii="[FontFamily: Name=Calibri]" w:hAnsi="[FontFamily: Name=Calibri]" w:cs="[FontFamily: Name=Calibri]" w:eastAsia="[FontFamily: Name=Calibri]"/>
                <w:sz w:val="18"/>
                <w:szCs w:val="18"/>
              </w:rPr>
              <w:t>2.4.3: Number of joint task forces (linking, for example, criminal justice, labour, immigration and violence against women) established on women’s protection/trafficking.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Yr 2020 target is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Yr 2021 target is 1. Accumulative Yr 2020-2021 target is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User registries Quantitative calculation based on technical progress reports of implementing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376,532.00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1,456,532.00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376,532.00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1,456,532.00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376,532.00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1,456,532.00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More women have increased economic opportunities </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2021, inclusive systems, structures and processes advance sustainable people-centred, equitable development for all people in Thailand.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lead, participate and have access to business opportunities to advance sustainable and inclusive growth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Collective approaches and/ or practices to challenges of global and/ or mutual concern which have been developed/ embraced/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 established approach throughout the programme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 established approach throughout the programme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 established approached throughout the programme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Programme progress and Evaluation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Knowledge: Women’s  networks, public institutions and the private sector in the EU and Asia share expertise and knowledge to advance an enabling business environment for women’s economic empowerment</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Percentage of participants targeted by outreach and advocacy events who acknowledge having engaged further on the topic on their own initiative as a result of their exposure to an event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implementation in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 of programme March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Online and offline Surveys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89,380.00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363,580.00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development and technical assistance: Women-owned business and entrepreneurs have increased capacity to engage with governments and private sector companies in policies and dialogues for advancement of women’s economic empowerment</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processes related to state level and sub-state level (bilateral, regional, multi-lateral) and non-state partnership strategies and policy dialogues which have been influenced.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 of programme in March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 evaluation report and other credible international regional report/research</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56,181.00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248,181.00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Advocacy and representation: More private sector companies implement the WEPs, including the gender-sensitive business culture and practices in EU and the country</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WEPs signatories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signatories in Thailand as of Nov 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of signatories for Asia Pacific is 588 in 2018 and forThailand is 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 evidence of action plans of signatories.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of signatories for Asia Pacific is 588 in 2018 and forThailand is 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 evidence of action plans of signatories.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of signatories for Asia Pacific is 588 in 2018 and forThailand is 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 evidence of action plans of signatories.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signatories in Thailand as of Nov 19</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*Baseline of signatories for Asia Pacific is 588 in 2018 and forThailand is 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 evidence of action plans of signatories.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http://weprinciples.org/Site/Companies/#search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56,181.00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249,181.00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201,742.00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99,200.00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860,942.00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201,742.00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99,200.00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860,942.00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49a31562c7d641c4" Type="http://schemas.openxmlformats.org/officeDocument/2006/relationships/footer" Target="/word/footer3.xml"/><Relationship Id="rId3" Type="http://schemas.openxmlformats.org/officeDocument/2006/relationships/customXml" Target="../customXml/item3.xml"/><Relationship Id="R6cc8a5b53c394555" Type="http://schemas.openxmlformats.org/officeDocument/2006/relationships/styles" Target="/word/styles.xml"/><Relationship Id="Redfaba0f93354057" Type="http://schemas.openxmlformats.org/officeDocument/2006/relationships/numbering" Target="/word/numbering.xml"/><Relationship Id="Rb04436723c6e4313" Type="http://schemas.openxmlformats.org/officeDocument/2006/relationships/footer" Target="/word/footer2.xml"/><Relationship Id="rId2" Type="http://schemas.openxmlformats.org/officeDocument/2006/relationships/customXml" Target="../customXml/item2.xml"/><Relationship Id="Rc07dd33e395340df" Type="http://schemas.openxmlformats.org/officeDocument/2006/relationships/settings" Target="/word/settings.xml"/><Relationship Id="R37cfd961cf804823" Type="http://schemas.openxmlformats.org/officeDocument/2006/relationships/image" Target="/word/media/ba81d2b4-282c-4d00-a845-e6fcfa3ead58.jpeg"/><Relationship Id="rId1" Type="http://schemas.openxmlformats.org/officeDocument/2006/relationships/customXml" Target="../customXml/item1.xml"/><Relationship Id="R9efef6c8864544fe" Type="http://schemas.openxmlformats.org/officeDocument/2006/relationships/image" Target="/word/media/f5c04ebd-c43f-46be-b6a5-b110c79ada8f.jpeg"/><Relationship Id="R9aceb5cd1ccc4480" Type="http://schemas.openxmlformats.org/officeDocument/2006/relationships/footer" Target="/word/footer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041AB943-7650-4BA0-9570-CD870B984D89}"/>
</file>

<file path=customXml/itemProps2.xml><?xml version="1.0" encoding="utf-8"?>
<ds:datastoreItem xmlns:ds="http://schemas.openxmlformats.org/officeDocument/2006/customXml" ds:itemID="{63DB4C76-298C-465A-8864-8973FDEC41FB}"/>
</file>

<file path=customXml/itemProps3.xml><?xml version="1.0" encoding="utf-8"?>
<ds:datastoreItem xmlns:ds="http://schemas.openxmlformats.org/officeDocument/2006/customXml" ds:itemID="{15664E94-07E1-4B06-B477-7D3D66EA36E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