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5cc0dbf7efe94047"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28b7b231e07e42ad"/>
      <w:footerReference w:type="even" r:id="R575acd0c4e734a32"/>
      <w:footerReference w:type="first" r:id="R4041bd48e5074a48"/>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bc838f4e5304aa9"/>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7df70d169aa4d3a"/>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2021-2026</w:t>
      </w:r>
    </w:p>
    <w:p>
      <w:pPr>
        <w:jc w:val="center"/>
      </w:pPr>
      <w:r>
        <w:rPr>
          <w:b/>
          <w:caps/>
          <w:rFonts w:ascii="[FontFamily: Name=Calibri]" w:hAnsi="[FontFamily: Name=Calibri]" w:cs="[FontFamily: Name=Calibri]" w:eastAsia="[FontFamily: Name=Calibri]"/>
          <w:sz w:val="32"/>
          <w:szCs w:val="32"/>
          <w:color w:val="009CDB"/>
        </w:rPr>
        <w:t>UN WOMEN Tajikistan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To empower women and girls and ensure full enjoyment of their human rights towards peaceful and gender equal society in Tajikistan</w:t>
            </w:r>
          </w:p>
        </w:tc>
        <w:tc>
          <w:tcPr>
            <w:tcW w:w="12240" w:type="dxa"/>
            <w:gridSpan w:val="8"/>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People in Tajikistan have their rights protected and benefit from improved access to justice and quality services delivered by accountable, transparent, and gender responsive legislative, executive and judicial institutions at all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2026</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particularly those from vulnerable groups, increasingly benefit from gender-responsive governance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incluing WLWH and GE advocates participate in decision making processes to eliminate stigma and discrimination, challenge harmful norms and unequal power relations to prevent and address gender-based violence and improve access to justice.</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 of recommendations developed based on the presented assessment on key challenges and barriers to women's access to HIV treatment reflected in national and regional policies and regulations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1.1.1B:  </w:t>
            </w:r>
            <w:r>
              <w:rPr>
                <w:rFonts w:ascii="[FontFamily: Name=Calibri]" w:hAnsi="[FontFamily: Name=Calibri]" w:cs="[FontFamily: Name=Calibri]" w:eastAsia="[FontFamily: Name=Calibri]"/>
                <w:sz w:val="18"/>
                <w:szCs w:val="18"/>
              </w:rPr>
              <w:t># of professional lawyers trained on strategic cases and submission of an individual complaints to CEDAW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1.1.1C:  </w:t>
            </w:r>
            <w:r>
              <w:rPr>
                <w:rFonts w:ascii="[FontFamily: Name=Calibri]" w:hAnsi="[FontFamily: Name=Calibri]" w:cs="[FontFamily: Name=Calibri]" w:eastAsia="[FontFamily: Name=Calibri]"/>
                <w:sz w:val="18"/>
                <w:szCs w:val="18"/>
              </w:rPr>
              <w:t># of women living with HIV trained on preparation of the CEDAW alternative report, participate in moc-session organized by UN Women and present the report to the committee.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Integrated SDG financing mechanism through evidence-based on-budget, alternative and innovative financing solutions for the achievement of national SDG targets.</w:t>
            </w:r>
          </w:p>
        </w:tc>
        <w:tc>
          <w:tcPr>
            <w:tcW w:w="5000" w:type="dxa"/>
          </w:tcPr>
          <w:p>
            <w:pPr/>
            <w:r>
              <w:rPr>
                <w:b/>
                <w:rFonts w:ascii="[FontFamily: Name=Calibri]" w:hAnsi="[FontFamily: Name=Calibri]" w:cs="[FontFamily: Name=Calibri]" w:eastAsia="[FontFamily: Name=Calibri]"/>
                <w:sz w:val="18"/>
                <w:szCs w:val="18"/>
              </w:rPr>
              <w:t xml:space="preserve">Indicator 1.1.2B:  </w:t>
            </w:r>
            <w:r>
              <w:rPr>
                <w:rFonts w:ascii="[FontFamily: Name=Calibri]" w:hAnsi="[FontFamily: Name=Calibri]" w:cs="[FontFamily: Name=Calibri]" w:eastAsia="[FontFamily: Name=Calibri]"/>
                <w:sz w:val="18"/>
                <w:szCs w:val="18"/>
              </w:rPr>
              <w:t>Percent of trainees competent on principles of gender responsive budgeting in the context of SDG financing.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Based on % of participants who successfully past post-training assessment.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Relevant staff in government agencies do not have sufficient knowledge on GRB</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Donor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76,325.00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76,325.00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and NGO services have increased capacity to provide access to information and legal services on issues of family violence, access to land, civil status, migration and family tracing (ProDoc Output 3.1.)</w:t>
            </w:r>
          </w:p>
        </w:tc>
        <w:tc>
          <w:tcPr>
            <w:tcW w:w="5000" w:type="dxa"/>
          </w:tcPr>
          <w:p>
            <w:pPr/>
            <w:r>
              <w:rPr>
                <w:b/>
                <w:rFonts w:ascii="[FontFamily: Name=Calibri]" w:hAnsi="[FontFamily: Name=Calibri]" w:cs="[FontFamily: Name=Calibri]" w:eastAsia="[FontFamily: Name=Calibri]"/>
                <w:sz w:val="18"/>
                <w:szCs w:val="18"/>
              </w:rPr>
              <w:t xml:space="preserve">Indicator 1.1.3A:  </w:t>
            </w:r>
            <w:r>
              <w:rPr>
                <w:rFonts w:ascii="[FontFamily: Name=Calibri]" w:hAnsi="[FontFamily: Name=Calibri]" w:cs="[FontFamily: Name=Calibri]" w:eastAsia="[FontFamily: Name=Calibri]"/>
                <w:sz w:val="18"/>
                <w:szCs w:val="18"/>
              </w:rPr>
              <w:t>#of service providers who are aware of legal issues faced by women left behind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 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20,785.00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20,785.00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left behind have increased individual and community support and knowledge of their rights (ProDoc Output 3.2)</w:t>
            </w:r>
          </w:p>
        </w:tc>
        <w:tc>
          <w:tcPr>
            <w:tcW w:w="5000" w:type="dxa"/>
          </w:tcPr>
          <w:p>
            <w:pPr/>
            <w:r>
              <w:rPr>
                <w:b/>
                <w:rFonts w:ascii="[FontFamily: Name=Calibri]" w:hAnsi="[FontFamily: Name=Calibri]" w:cs="[FontFamily: Name=Calibri]" w:eastAsia="[FontFamily: Name=Calibri]"/>
                <w:sz w:val="18"/>
                <w:szCs w:val="18"/>
              </w:rPr>
              <w:t xml:space="preserve">Indicator 1.1.4B:  </w:t>
            </w:r>
            <w:r>
              <w:rPr>
                <w:rFonts w:ascii="[FontFamily: Name=Calibri]" w:hAnsi="[FontFamily: Name=Calibri]" w:cs="[FontFamily: Name=Calibri]" w:eastAsia="[FontFamily: Name=Calibri]"/>
                <w:sz w:val="18"/>
                <w:szCs w:val="18"/>
              </w:rPr>
              <w:t># of people reached through awareness campaigns on [rights and protections, social inclusion, SGBV]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Assumptions: Permissions for advocacy mediums are obtained (due to COVID19)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 media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1.1.4D:  </w:t>
            </w:r>
            <w:r>
              <w:rPr>
                <w:rFonts w:ascii="[FontFamily: Name=Calibri]" w:hAnsi="[FontFamily: Name=Calibri]" w:cs="[FontFamily: Name=Calibri]" w:eastAsia="[FontFamily: Name=Calibri]"/>
                <w:sz w:val="18"/>
                <w:szCs w:val="18"/>
              </w:rPr>
              <w:t># of CSOs capacitated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Assumptions: Permissions for movements are in place (due to COVID19).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1.1.4E:  </w:t>
            </w:r>
            <w:r>
              <w:rPr>
                <w:rFonts w:ascii="[FontFamily: Name=Calibri]" w:hAnsi="[FontFamily: Name=Calibri]" w:cs="[FontFamily: Name=Calibri]" w:eastAsia="[FontFamily: Name=Calibri]"/>
                <w:sz w:val="18"/>
                <w:szCs w:val="18"/>
              </w:rPr>
              <w:t># of individuals benefited from micro-projects and community activities on EVAW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 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74,006.00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74,006.00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engaged gender assessment and mobilization process supports women to plan for livelihoods and dedicate more time to economic activity and community projects (ProDoc output 2.4)</w:t>
            </w:r>
          </w:p>
        </w:tc>
        <w:tc>
          <w:tcPr>
            <w:tcW w:w="5000" w:type="dxa"/>
          </w:tcPr>
          <w:p>
            <w:pPr/>
            <w:r>
              <w:rPr>
                <w:b/>
                <w:rFonts w:ascii="[FontFamily: Name=Calibri]" w:hAnsi="[FontFamily: Name=Calibri]" w:cs="[FontFamily: Name=Calibri]" w:eastAsia="[FontFamily: Name=Calibri]"/>
                <w:sz w:val="18"/>
                <w:szCs w:val="18"/>
              </w:rPr>
              <w:t xml:space="preserve">Indicator 1.1.5A:  </w:t>
            </w:r>
            <w:r>
              <w:rPr>
                <w:rFonts w:ascii="[FontFamily: Name=Calibri]" w:hAnsi="[FontFamily: Name=Calibri]" w:cs="[FontFamily: Name=Calibri]" w:eastAsia="[FontFamily: Name=Calibri]"/>
                <w:sz w:val="18"/>
                <w:szCs w:val="18"/>
              </w:rPr>
              <w:t># of community mobilizers trained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 Research company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1.1.5B:  </w:t>
            </w:r>
            <w:r>
              <w:rPr>
                <w:rFonts w:ascii="[FontFamily: Name=Calibri]" w:hAnsi="[FontFamily: Name=Calibri]" w:cs="[FontFamily: Name=Calibri]" w:eastAsia="[FontFamily: Name=Calibri]"/>
                <w:sz w:val="18"/>
                <w:szCs w:val="18"/>
              </w:rPr>
              <w:t>% of community mobilizers with increased knowledge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Project Reports; Reports of participants of the knowledge exchange events.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1.1.5C:  </w:t>
            </w:r>
            <w:r>
              <w:rPr>
                <w:rFonts w:ascii="[FontFamily: Name=Calibri]" w:hAnsi="[FontFamily: Name=Calibri]" w:cs="[FontFamily: Name=Calibri]" w:eastAsia="[FontFamily: Name=Calibri]"/>
                <w:sz w:val="18"/>
                <w:szCs w:val="18"/>
              </w:rPr>
              <w:t># of self-help group participants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1.1.5D:  </w:t>
            </w:r>
            <w:r>
              <w:rPr>
                <w:rFonts w:ascii="[FontFamily: Name=Calibri]" w:hAnsi="[FontFamily: Name=Calibri]" w:cs="[FontFamily: Name=Calibri]" w:eastAsia="[FontFamily: Name=Calibri]"/>
                <w:sz w:val="18"/>
                <w:szCs w:val="18"/>
              </w:rPr>
              <w:t># of families benefited from micro-projects and Community actions on the economy of care/unpaid 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Project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160,099.00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160,099.00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Evidence on 'Families left behind' is available to guide policy planning (ProDoc Output 4.1)</w:t>
            </w:r>
          </w:p>
        </w:tc>
        <w:tc>
          <w:tcPr>
            <w:tcW w:w="5000" w:type="dxa"/>
          </w:tcPr>
          <w:p>
            <w:pPr/>
            <w:r>
              <w:rPr>
                <w:b/>
                <w:rFonts w:ascii="[FontFamily: Name=Calibri]" w:hAnsi="[FontFamily: Name=Calibri]" w:cs="[FontFamily: Name=Calibri]" w:eastAsia="[FontFamily: Name=Calibri]"/>
                <w:sz w:val="18"/>
                <w:szCs w:val="18"/>
              </w:rPr>
              <w:t xml:space="preserve">Indicator 1.1.7A:  </w:t>
            </w:r>
            <w:r>
              <w:rPr>
                <w:rFonts w:ascii="[FontFamily: Name=Calibri]" w:hAnsi="[FontFamily: Name=Calibri]" w:cs="[FontFamily: Name=Calibri]" w:eastAsia="[FontFamily: Name=Calibri]"/>
                <w:sz w:val="18"/>
                <w:szCs w:val="18"/>
              </w:rPr>
              <w:t># of assessment/ research reports disseminated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on related assessment / research</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1.1.7B:  </w:t>
            </w:r>
            <w:r>
              <w:rPr>
                <w:rFonts w:ascii="[FontFamily: Name=Calibri]" w:hAnsi="[FontFamily: Name=Calibri]" w:cs="[FontFamily: Name=Calibri]" w:eastAsia="[FontFamily: Name=Calibri]"/>
                <w:sz w:val="18"/>
                <w:szCs w:val="18"/>
              </w:rPr>
              <w:t># of individuals of related ministries, whose technical and managerial capacities on prioritization for GRB in socio-economic aspects of migration and diagnostics of systemic GRB financing bottlenecks are supported by knowledge and data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1.1.7C:  </w:t>
            </w:r>
            <w:r>
              <w:rPr>
                <w:rFonts w:ascii="[FontFamily: Name=Calibri]" w:hAnsi="[FontFamily: Name=Calibri]" w:cs="[FontFamily: Name=Calibri]" w:eastAsia="[FontFamily: Name=Calibri]"/>
                <w:sz w:val="18"/>
                <w:szCs w:val="18"/>
              </w:rPr>
              <w:t># of knowledge products introduced to the officials of MoF, MoLE, MEDT.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Knowledge products in place (Practical guide and Training Program)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 system coordination for gender equality</w:t>
            </w:r>
          </w:p>
        </w:tc>
        <w:tc>
          <w:tcPr>
            <w:tcW w:w="5000" w:type="dxa"/>
          </w:tcPr>
          <w:p>
            <w:pPr/>
            <w:r>
              <w:rPr>
                <w:b/>
                <w:rFonts w:ascii="[FontFamily: Name=Calibri]" w:hAnsi="[FontFamily: Name=Calibri]" w:cs="[FontFamily: Name=Calibri]" w:eastAsia="[FontFamily: Name=Calibri]"/>
                <w:sz w:val="18"/>
                <w:szCs w:val="18"/>
              </w:rPr>
              <w:t xml:space="preserve">Indicator 1.1.9A:  </w:t>
            </w:r>
            <w:r>
              <w:rPr>
                <w:rFonts w:ascii="[FontFamily: Name=Calibri]" w:hAnsi="[FontFamily: Name=Calibri]" w:cs="[FontFamily: Name=Calibri]" w:eastAsia="[FontFamily: Name=Calibri]"/>
                <w:sz w:val="18"/>
                <w:szCs w:val="18"/>
              </w:rPr>
              <w:t>% implementation of the SWAP Action Plan interventions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AP was endorsed by UNCT in November 2021. Its implementation planned accordingly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comprehensive SWAP assessment was conducted in 2021 and AP was developed accordingly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annual SWAP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72,608.00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72,608.00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MIGRATION PROJECT MANAGEMENT COSTS</w:t>
            </w:r>
          </w:p>
        </w:tc>
        <w:tc>
          <w:tcPr>
            <w:tcW w:w="5000" w:type="dxa"/>
          </w:tcPr>
          <w:p>
            <w:pP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32,864.00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32,864.00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72,608.00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476,279.00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72,608.00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476,279.00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72,608.00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476,279.00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72,608.00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476,279.00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Legislation and policies are enforced to prevent domestic violence</w:t>
            </w:r>
          </w:p>
        </w:tc>
        <w:tc>
          <w:tcPr>
            <w:tcW w:w="12240" w:type="dxa"/>
            <w:gridSpan w:val="8"/>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Women, youth, children, persons with disabilities and other vulnerable groups are protected from violence and discrimination, have voice that is heard and respected as equal members of society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2026</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Normative and policy frameworks are promoted and adapted in line with international standards, and institutions have the commitment, knowledge and capacities to legislate, plan, implement and monitor policies to address VAWG and femicide.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Legislative and policy frameworks, based on evidence and in line with international human rights standards, on all forms of violence against women and girls and harmful practices are in place and translated into plans</w:t>
            </w:r>
          </w:p>
        </w:tc>
        <w:tc>
          <w:tcPr>
            <w:tcW w:w="5000" w:type="dxa"/>
          </w:tcPr>
          <w:p>
            <w:pPr/>
            <w:r>
              <w:rPr>
                <w:b/>
                <w:rFonts w:ascii="[FontFamily: Name=Calibri]" w:hAnsi="[FontFamily: Name=Calibri]" w:cs="[FontFamily: Name=Calibri]" w:eastAsia="[FontFamily: Name=Calibri]"/>
                <w:sz w:val="18"/>
                <w:szCs w:val="18"/>
              </w:rPr>
              <w:t xml:space="preserve">Indicator 3.1.1A:  </w:t>
            </w:r>
            <w:r>
              <w:rPr>
                <w:rFonts w:ascii="[FontFamily: Name=Calibri]" w:hAnsi="[FontFamily: Name=Calibri]" w:cs="[FontFamily: Name=Calibri]" w:eastAsia="[FontFamily: Name=Calibri]"/>
                <w:sz w:val="18"/>
                <w:szCs w:val="18"/>
              </w:rPr>
              <w:t>Number of draft evidence-based national and/or sub-national action plans on ending VAWG developed that respond to the rights of groups facing intersecting and multiple forms of discrimination with M&amp;E frameworks and proposed budgets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baseline will be set based on the review of the NAP on Prevention of Violence in the Family 2014-2023 - with the focus on 1. Sources and methods of data/evidence collection; 2. methods of costing; 3. availability and quality of M&amp;E plan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?onsider current NAP (2014 - 2023), in 2022 it will also be 1 NAP. State Program for the prevention of violence in the family in the RT is active until 2023.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In 2021, we will only analyze the program, make services costing, and start drafting a new one, meant for the period beyond 2023. The program cannot be accepted until the old one expires, therefore, recommendations of the analysis and services' costing will be included in the draft during 2021-2022. No NAP funding could be done until 2023.</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Important NOTE: the current NAP (2014-2023) is not comprehensive and it covers only Domestic Violence issues (and doesn't talk of VAW particularly, but only on violence against children within the family).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SLI will support the drafting of a NEW, comprehensive NAP beyond 2023, that will cover all spheres where VAW and SGBV occur.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?onsider current NAP (2014 - 2023), in 2022 it will also be 1 NAP. State Program for the prevention of violence in the family in the RT is active until 2023.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In 2021, we will only analyze the program, make services costing, and start drafting a new one, meant for the period beyond 2023. The program cannot be accepted until the old one expires, therefore, recommendations of the analysis and services' costing will be included in the draft during 2021-2022. No NAP funding could be done until 2023.</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Important NOTE: the current NAP (2014-2023) is not comprehensive and it covers only Domestic Violence issues (and doesn't talk of VAW particularly, but only on violence against children within the family).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SLI will support the drafting of a NEW, comprehensive NAP beyond 2023, that will cover all spheres where VAW and SGBV occur.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National data, Reports of the Committee on women and family affairs under the Government of 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521,000.00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521,000.00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and sub-national systems and institutions plan, fund and deliver evidence-based programmes that prevent and respond to violence against women and girls and harmful practices, including in other sectors</w:t>
            </w:r>
          </w:p>
        </w:tc>
        <w:tc>
          <w:tcPr>
            <w:tcW w:w="5000" w:type="dxa"/>
          </w:tcPr>
          <w:p>
            <w:pPr/>
            <w:r>
              <w:rPr>
                <w:b/>
                <w:rFonts w:ascii="[FontFamily: Name=Calibri]" w:hAnsi="[FontFamily: Name=Calibri]" w:cs="[FontFamily: Name=Calibri]" w:eastAsia="[FontFamily: Name=Calibri]"/>
                <w:sz w:val="18"/>
                <w:szCs w:val="18"/>
              </w:rPr>
              <w:t xml:space="preserve">Indicator 3.1.2A:  </w:t>
            </w:r>
            <w:r>
              <w:rPr>
                <w:rFonts w:ascii="[FontFamily: Name=Calibri]" w:hAnsi="[FontFamily: Name=Calibri]" w:cs="[FontFamily: Name=Calibri]" w:eastAsia="[FontFamily: Name=Calibri]"/>
                <w:sz w:val="18"/>
                <w:szCs w:val="18"/>
              </w:rPr>
              <w:t>Number of key government officials trained on human rights and gender-equitable norms, attitudes and behaviours towards women and girls, including for those groups facing intersecting and multiple forms of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baseline will be set based on 1. collection of data on number of civil servants trained on SGBV issues;2. review the systems within ministries on staff capacity building; system of tracking post-training staff performance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 Women renders trainings to staff of CoWFA, Min. of  Education, Min. of Health and Social Protection. Staff engaged are 85 persons, while officials/ decision makers are only small percentage from the invited trainees. We consider 5 out of 20 per training.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 Women renders trainings to staff of CoWFA, Min. of  Education, Min. of Health and Social Protection. Staff engaged are 85 persons, while officials/ decision makers are only small percentage from the invited trainees. We consider 5 out of 20 per training.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Initiative programme reports of 2021-2022 years.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15,226.00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15,226.00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 inequitable social norms, attitudes and behaviours change at community and individual levels to prevent violence against women and girls and harmful practices</w:t>
            </w:r>
          </w:p>
        </w:tc>
        <w:tc>
          <w:tcPr>
            <w:tcW w:w="5000" w:type="dxa"/>
          </w:tcPr>
          <w:p>
            <w:pPr/>
            <w:r>
              <w:rPr>
                <w:b/>
                <w:rFonts w:ascii="[FontFamily: Name=Calibri]" w:hAnsi="[FontFamily: Name=Calibri]" w:cs="[FontFamily: Name=Calibri]" w:eastAsia="[FontFamily: Name=Calibri]"/>
                <w:sz w:val="18"/>
                <w:szCs w:val="18"/>
              </w:rPr>
              <w:t xml:space="preserve">Indicator 3.1.3A:  </w:t>
            </w:r>
            <w:r>
              <w:rPr>
                <w:rFonts w:ascii="[FontFamily: Name=Calibri]" w:hAnsi="[FontFamily: Name=Calibri]" w:cs="[FontFamily: Name=Calibri]" w:eastAsia="[FontFamily: Name=Calibri]"/>
                <w:sz w:val="18"/>
                <w:szCs w:val="18"/>
              </w:rPr>
              <w:t>Number of conducted campaigns challenging harmful social norms and gender stereotyping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Detailed number of people reached by the campaigns will be identified by UNICEF's Survey. The results of the survey will cover activity of UNICEF, UN Women and UNDP.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UNICEF's survey results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103,590.00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103,590.00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who experience violence and harmful practices use available, accessible, acceptable and quality essential services including  for long term recovery from violence.</w:t>
            </w:r>
          </w:p>
        </w:tc>
        <w:tc>
          <w:tcPr>
            <w:tcW w:w="5000" w:type="dxa"/>
          </w:tcPr>
          <w:p>
            <w:pPr/>
            <w:r>
              <w:rPr>
                <w:b/>
                <w:rFonts w:ascii="[FontFamily: Name=Calibri]" w:hAnsi="[FontFamily: Name=Calibri]" w:cs="[FontFamily: Name=Calibri]" w:eastAsia="[FontFamily: Name=Calibri]"/>
                <w:sz w:val="18"/>
                <w:szCs w:val="18"/>
              </w:rPr>
              <w:t xml:space="preserve">Indicator 3.1.4A:  </w:t>
            </w:r>
            <w:r>
              <w:rPr>
                <w:rFonts w:ascii="[FontFamily: Name=Calibri]" w:hAnsi="[FontFamily: Name=Calibri]" w:cs="[FontFamily: Name=Calibri]" w:eastAsia="[FontFamily: Name=Calibri]"/>
                <w:sz w:val="18"/>
                <w:szCs w:val="18"/>
              </w:rPr>
              <w:t>Number of women and girls - survivors/victims and their families, including groups facing multiple and intersecting forms of discrimination, that have increased knowledge of and access to accompaniment/support initiatives, including longer-term recovery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will be based on 1. review of reports of existing essential services; 2. focus groups in 6 districts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No data on access to services due to delayed programme signing by the Government (for 1,5 years), and consequently delayed Baseline Survey of the SLI.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Milestones: new 1,200 women &amp; girls by end of 2023 having increased knowledge; new 300 women &amp; girls by end of 2032 having access to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data on access to services due to delayed programme signing by the Government (for 1,5 years), and consequently delayed Baseline Survey of the SLI. Number of 800 women and girls informed of the services ("increased knowledge") by end of 2020 ; and 150 having access to services comes from activity on COVID-19 prevention in 2020 (total 620).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Initiative programme Reports of 2022 year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134,505.00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134,505.00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Quality, disaggregated and globally comparable data on different forms of violence against women and girls and harmful practices, collected, analysed and used in line with international standards to inform laws, policies and programmes</w:t>
            </w:r>
          </w:p>
        </w:tc>
        <w:tc>
          <w:tcPr>
            <w:tcW w:w="5000" w:type="dxa"/>
          </w:tcPr>
          <w:p>
            <w:pPr/>
            <w:r>
              <w:rPr>
                <w:b/>
                <w:rFonts w:ascii="[FontFamily: Name=Calibri]" w:hAnsi="[FontFamily: Name=Calibri]" w:cs="[FontFamily: Name=Calibri]" w:eastAsia="[FontFamily: Name=Calibri]"/>
                <w:sz w:val="18"/>
                <w:szCs w:val="18"/>
              </w:rPr>
              <w:t xml:space="preserve">Indicator 3.1.5A:  </w:t>
            </w:r>
            <w:r>
              <w:rPr>
                <w:rFonts w:ascii="[FontFamily: Name=Calibri]" w:hAnsi="[FontFamily: Name=Calibri]" w:cs="[FontFamily: Name=Calibri]" w:eastAsia="[FontFamily: Name=Calibri]"/>
                <w:sz w:val="18"/>
                <w:szCs w:val="18"/>
              </w:rPr>
              <w:t>Number of women's rights advocates with strengthened capacities to collect prevalence and/or incidence data, including qualitative data, on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Representatives of 20 NGOs will be trained on data, based on adopted UNFPA's developed Module.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Representatives of 20 NGOs will be trained on data, based on adopted UNFPA's developed Module.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data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Initiative 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48,540.00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48,540.00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rights groups, autonomous social movements and relevant CSOs, including those representing youth and groups facing multiple and intersecting forms of discrimination/marginalization, more effectively influence and advance progress on GEWE and ending VAWG</w:t>
            </w:r>
          </w:p>
        </w:tc>
        <w:tc>
          <w:tcPr>
            <w:tcW w:w="5000" w:type="dxa"/>
          </w:tcPr>
          <w:p>
            <w:pPr/>
            <w:r>
              <w:rPr>
                <w:b/>
                <w:rFonts w:ascii="[FontFamily: Name=Calibri]" w:hAnsi="[FontFamily: Name=Calibri]" w:cs="[FontFamily: Name=Calibri]" w:eastAsia="[FontFamily: Name=Calibri]"/>
                <w:sz w:val="18"/>
                <w:szCs w:val="18"/>
              </w:rPr>
              <w:t xml:space="preserve">Indicator 3.1.6B:  </w:t>
            </w:r>
            <w:r>
              <w:rPr>
                <w:rFonts w:ascii="[FontFamily: Name=Calibri]" w:hAnsi="[FontFamily: Name=Calibri]" w:cs="[FontFamily: Name=Calibri]" w:eastAsia="[FontFamily: Name=Calibri]"/>
                <w:sz w:val="18"/>
                <w:szCs w:val="18"/>
              </w:rPr>
              <w:t>Number of women's rights groups, networks and relevant CSOs with strengthened capacities to network , partner and jointly advocate for progress on ending VAWG at local, national, regional and global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Previous numbers: Those supported during the activity on prevention of COVID-19 and response to VAWG (6 NGOs); Civil Society Reference Group (10 members) and those engaged in GALS training in December 2020 (4 NGOs)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NEW:  10 NGOs' 20 students of the School of Gender Advocates; minimum 10 NGOs engaged in development of Civil Society Strategy on transformative change on ending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Those supported during the activity on prevention of COVID-19 and response to VAWG (6 NGOs); Civil Society Reference Group (10 members) and those engaged in GALS training in December 2020 (4 NGOs)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TBC</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125,718.00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125,718.00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Spotlight Project Management Cost</w:t>
            </w:r>
          </w:p>
        </w:tc>
        <w:tc>
          <w:tcPr>
            <w:tcW w:w="5000" w:type="dxa"/>
          </w:tcPr>
          <w:p>
            <w:pPr/>
            <w:r>
              <w:rPr>
                <w:b/>
                <w:rFonts w:ascii="[FontFamily: Name=Calibri]" w:hAnsi="[FontFamily: Name=Calibri]" w:cs="[FontFamily: Name=Calibri]" w:eastAsia="[FontFamily: Name=Calibri]"/>
                <w:sz w:val="18"/>
                <w:szCs w:val="18"/>
              </w:rPr>
              <w:t xml:space="preserve">Indicator 3.1.7A: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As per Spotlight Guidance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16,211.00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270,061.00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16,211.00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270,061.00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Support Cost</w:t>
            </w:r>
          </w:p>
        </w:tc>
        <w:tc>
          <w:tcPr>
            <w:tcW w:w="5000" w:type="dxa"/>
          </w:tcPr>
          <w:p>
            <w:pP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54,876.00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54,876.00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16,211.00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1,273,516.00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16,211.00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1,273,516.00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16,211.00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1,273,516.00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16,211.00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1,273,516.00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f1a42f84fba6460b" Type="http://schemas.openxmlformats.org/officeDocument/2006/relationships/styles" Target="/word/styles.xml"/><Relationship Id="R57df70d169aa4d3a" Type="http://schemas.openxmlformats.org/officeDocument/2006/relationships/image" Target="/word/media/84b30765-81d0-467b-b634-0a4e985fa0dc.jpeg"/><Relationship Id="rId2" Type="http://schemas.openxmlformats.org/officeDocument/2006/relationships/customXml" Target="../customXml/item2.xml"/><Relationship Id="R2cf1da5f4e75420e" Type="http://schemas.openxmlformats.org/officeDocument/2006/relationships/numbering" Target="/word/numbering.xml"/><Relationship Id="Reff6cdef34494e2d" Type="http://schemas.openxmlformats.org/officeDocument/2006/relationships/settings" Target="/word/settings.xml"/><Relationship Id="R1bc838f4e5304aa9" Type="http://schemas.openxmlformats.org/officeDocument/2006/relationships/image" Target="/word/media/6454fd9b-93e5-4efe-8cf8-fb4e5450dbbb.jpeg"/><Relationship Id="R4041bd48e5074a48" Type="http://schemas.openxmlformats.org/officeDocument/2006/relationships/footer" Target="/word/footer3.xml"/><Relationship Id="rId1" Type="http://schemas.openxmlformats.org/officeDocument/2006/relationships/customXml" Target="../customXml/item1.xml"/><Relationship Id="R28b7b231e07e42ad" Type="http://schemas.openxmlformats.org/officeDocument/2006/relationships/footer" Target="/word/footer1.xml"/><Relationship Id="R575acd0c4e734a32" Type="http://schemas.openxmlformats.org/officeDocument/2006/relationships/footer" Target="/word/footer2.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2906B4AF-B62F-41E3-9A8D-48B3A37B13AE}"/>
</file>

<file path=customXml/itemProps2.xml><?xml version="1.0" encoding="utf-8"?>
<ds:datastoreItem xmlns:ds="http://schemas.openxmlformats.org/officeDocument/2006/customXml" ds:itemID="{08444C17-3C84-42A3-9F90-B14A2CA1E71D}"/>
</file>

<file path=customXml/itemProps3.xml><?xml version="1.0" encoding="utf-8"?>
<ds:datastoreItem xmlns:ds="http://schemas.openxmlformats.org/officeDocument/2006/customXml" ds:itemID="{D55D5711-6FC3-4E4F-A73E-5878F147D72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