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45e366d6a57c427a"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cfd9c8a12abd44f8"/>
      <w:footerReference w:type="even" r:id="Rda1ce3f062ed4bfe"/>
      <w:footerReference w:type="first" r:id="Re8ecc3c96d2046e7"/>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57f2360d8940f5"/>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b13ddfd65f45a1"/>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2021-2025</w:t>
      </w:r>
    </w:p>
    <w:p>
      <w:pPr>
        <w:jc w:val="center"/>
      </w:pPr>
      <w:r>
        <w:rPr>
          <w:b/>
          <w:caps/>
          <w:rFonts w:ascii="[FontFamily: Name=Calibri]" w:hAnsi="[FontFamily: Name=Calibri]" w:cs="[FontFamily: Name=Calibri]" w:eastAsia="[FontFamily: Name=Calibri]"/>
          <w:sz w:val="32"/>
          <w:szCs w:val="32"/>
          <w:color w:val="009CDB"/>
        </w:rPr>
        <w:t>UN WOMEN Timor-Leste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By 2025, institutions and people throughout TL, in all their diversity, especially women and youth, benefit from sustainable economic opportunities and decent work to reduce poverty.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institutions and people throughout Timor-Leste in all their diversity, especially women and youth, benefit from sustainable economic opportunities and decent work to reduce poverty.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(UNSDCF Outcome Indicators 2b.; SDG Indicator 8.5.1) Average monthly earnings of female and male employees, by age group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756.8 USD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Labour Force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Will depend on date of next LFS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530 USD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Data Source: Labour Force Survey (LFS) 2013 - sex-disaggregation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Labour Force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(UNSDCF Outcome Indicators 2.e; SDG Indicator 9.3.2) Proportion of Micro, small and medium (private) enterprises having access to credits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Confirm availability of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21%  Data Source: World Bank Enterprise Survey (2018) and Development Financing Assessment (DFA) report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Business Activity Survey (Directorate of Statistics)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(SP Indicator 3.8.1) Number of legal, regulatory and/or policy frameworks aligned with international standards that create decent work for women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Maubisse Declaration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Maubisse Declaration/ National Employment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0 (policies exist, but are not being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(SP Indicator 3.8.3) Number of legal, regulatory and/or policy frameworks in support of gender-responsive social protection systems that are implemented/ monitored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 Milestone) - Support provided to social protection strategy/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By end of SN period (3 different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C-19 Social Protection support to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 Monitoring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2.1E:  </w:t>
            </w:r>
            <w:r>
              <w:rPr>
                <w:rFonts w:ascii="[FontFamily: Name=Calibri]" w:hAnsi="[FontFamily: Name=Calibri]" w:cs="[FontFamily: Name=Calibri]" w:eastAsia="[FontFamily: Name=Calibri]"/>
                <w:sz w:val="18"/>
                <w:szCs w:val="18"/>
              </w:rPr>
              <w:t>(SP Output Indicator 3.8.4) Number of legal, regulatory and/or policy frameworks that address unpaid care work developed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 Milestone) - provided to unpaid care work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annually provided to unpaid care work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Unpaid care work not adequately covered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 monitoring of policy frameworks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government entities and private sector have increased knowledge and capacities to advance gender-responsive policies including Gender Responsive Budgeting and Women’s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Empowerment Principles (WEPs) to promote gender equality and addressing discrimination and barriers to women’s participation in economic and income generation activities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public and private institutions that have benefitted from capacity development to support their development and implementation of gender-responsive economic (and/or sectoral) policies, laws and strategies- including institutional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Dedicated WEE Strategy and/or C-190-related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2 -MTTI, SEII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2 -SEAC, MTTI, SEII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 SEII, Municipalities, private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 SEII, Municipalities, private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Agriculture Gender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 reports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knowledge products developed to increase access to information and/or data to inform gender responsive employment policies and/or social protection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total (Annual Milestone: one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knowledge products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stakeholders engaged  to support increased understanding of women's care burden and good practices to promote the recognition, reduction, and redistribution of such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Milestone: 5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Milestone: 5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Milestone: 5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Milestone: 5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 Monitoring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87,400.00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86,400.00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223,800.00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Self-employed women and women-owned MSMEs have enhanced opportunities to develop entrepreneurship skills, benefit from social empowerment and access finance and employment networks (SP Output 9)</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with strengthened capacities and skills  and tools to participate in the economy, including as entrepreneurs,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including continued engagement across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from 2021-2022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from 2021-2023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Via Baucau Vendor Conference and TAFA Weavers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Strategies/ plans reported ion women safety in public spaces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women entrepreneurs supported to access finance and gender-responsive financial products and services, with UN Women’s support  (SP Output Indicator 3.9.2)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including continued engagement across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2.1.2D:  </w:t>
            </w:r>
            <w:r>
              <w:rPr>
                <w:rFonts w:ascii="[FontFamily: Name=Calibri]" w:hAnsi="[FontFamily: Name=Calibri]" w:cs="[FontFamily: Name=Calibri]" w:eastAsia="[FontFamily: Name=Calibri]"/>
                <w:sz w:val="18"/>
                <w:szCs w:val="18"/>
              </w:rPr>
              <w:t>Number of national and international signatories to the Women Empowerment Principles in Timor-Leste (SP Output Indicator 3.9.4)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ANZ and Telkomsel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2.1.2E:  </w:t>
            </w:r>
            <w:r>
              <w:rPr>
                <w:rFonts w:ascii="[FontFamily: Name=Calibri]" w:hAnsi="[FontFamily: Name=Calibri]" w:cs="[FontFamily: Name=Calibri]" w:eastAsia="[FontFamily: Name=Calibri]"/>
                <w:sz w:val="18"/>
                <w:szCs w:val="18"/>
              </w:rPr>
              <w:t>Number of initiatives spearheaded by Women Empowerment Principles signatories to promote private sector efforts to advance WEE (SP Output Indicator 3.9.4)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across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WEPs Signatories in country (ANZ, Telkomsel), but no clear initiative to advance WEE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of reports/ communications by WEPs Signatories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31,500.00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118,900.00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111,400.00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330,300.00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118,900.00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111,400.00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330,300.00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are empowered to claim their rights through accessible, accountable and gender responsive governance systems, institutions and services at national and subnational levels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the most excluded people of Timor-Leste are empowered to claim their rights, including freedom from violence, through accessible, accountable and gender responsive governance systems, institutions and services at national and subnational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WPS (UNSDCF Outcome 5) By 2025, the most excluded people of Timor-Leste are empowered to claim their rights, including freedom from violence, through accessible, accountable and gender responsive governance systems, institutions and services at national and subnational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(UNSDCF Indicator 5.1.1; SDG Indicators 16.3.1): Proportion of victims of violence in the previous 12 months who reported their victimization to competent authorities or other officially recognized conflict resolution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Tier 2 inducator- data not yet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Data not yet collected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This is a Tier 2 SDG indicator and data not yet available- possible models will be explored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SN Indicator 4.2 (UNSDCF Indicator 5.2.1; SDG Indicator 5.c.1) Timor-Leste has systems to track and make public allocations for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Budget Statement is continued and measurements under SDG 5c1 shows progress.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Partially</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Gender is integrated into Programme Budgeting as per TL reporting on 5c.1 by TL in via the Global Partnership for Effective Development Cooperation (2018/2019)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analysis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Number of justice and security institutions implementing activities to advance the  WPS Agenda in Timor Leste (Adapted from SP Indicator 5.13.1)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5 (MoI, MoJ, State Administration, Defense, Police)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Interior, PNTL or another NAP 1325 institution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Ministry of Interior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Governance, justice and security institutions have strengthened gender mainstreaming capacities to finance, implement and monitor the WPS agenda at national and subnational levels, in collaboration with civil society  (SP Output 13)</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justice and security institutions with strengthened capacities to mainstream gender perspectives and promote the rights of women and girls in localized conflict, post-conflict and other crisis situations (adapted from SP Indicator 5.13.1)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Since indicator measures change, baseline is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UPMA reports; other reports (UPR,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civil society organizations and networks, directly supported by UN-Women to engage in NAP1325 development and implementation (adapted from SP Indicator 5.13.3)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resources available, at least 5 CSO will be supported to participate in NAP Phase 2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for organizations that can be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for organizations that can be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for organizations that can be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for organizations that can be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Acbit, Ba Futuru, Belun  were active as part of first NAP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 and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46,288.00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66,288.00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Diverse women and youth leaders have enhanced visibility, skills and networks to participate in leadership roles and contribute to decision-making at sub-national levels. (SP Output 13)</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women leaders, candidates and aspirants with strengthened capacities to engage in community decision-making structures, including related to justice, security and disaster-preparedness, supported by UN-Women (Adapted from SP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including continued engagement across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including continued engagement across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including continued engagement across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including continued engagement across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Since this is measuring change in capacity, starting year would be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and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Number of youth leaders reached in support of NAP 1325 development or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including continued engagement across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Supported through Digital Literacy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Youth GE Advocates established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 reports, participant information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32,884.00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52,884.00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WPS actors have stronger knowledge and networks to support gender-responsive conflict-resolution mechanisms and improve accessibility of justice services, through analysis, monitoring and facilitation of community dialogue and alternative dispute resolution processes (SP Output 13)</w:t>
            </w:r>
          </w:p>
        </w:tc>
        <w:tc>
          <w:tcPr>
            <w:tcW w:w="5000" w:type="dxa"/>
          </w:tcPr>
          <w:p>
            <w:pPr/>
            <w:r>
              <w:rPr>
                <w:b/>
                <w:rFonts w:ascii="[FontFamily: Name=Calibri]" w:hAnsi="[FontFamily: Name=Calibri]" w:cs="[FontFamily: Name=Calibri]" w:eastAsia="[FontFamily: Name=Calibri]"/>
                <w:sz w:val="18"/>
                <w:szCs w:val="18"/>
              </w:rPr>
              <w:t xml:space="preserve">Indicator 4.1.6A:  </w:t>
            </w:r>
            <w:r>
              <w:rPr>
                <w:rFonts w:ascii="[FontFamily: Name=Calibri]" w:hAnsi="[FontFamily: Name=Calibri]" w:cs="[FontFamily: Name=Calibri]" w:eastAsia="[FontFamily: Name=Calibri]"/>
                <w:sz w:val="18"/>
                <w:szCs w:val="18"/>
              </w:rPr>
              <w:t>Number of women mediators and leaders supported by UN Women reporting strengthened mediation and conflict resolution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 training and slight expansion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 training and slight expansion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 training and slight expansion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 training and slight expansion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Total- Continued training and slight expansion - number represents total to be reached (aiming for 1 per administrative post)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female mediators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and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4.1.6B:  </w:t>
            </w:r>
            <w:r>
              <w:rPr>
                <w:rFonts w:ascii="[FontFamily: Name=Calibri]" w:hAnsi="[FontFamily: Name=Calibri]" w:cs="[FontFamily: Name=Calibri]" w:eastAsia="[FontFamily: Name=Calibri]"/>
                <w:sz w:val="18"/>
                <w:szCs w:val="18"/>
              </w:rPr>
              <w:t>Number of of government and civil society institutions  at national and community levels supported to understand and use gender-responsive mediation guidelines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Refresher for MOI and MoJ</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MoI, MoJ, State Administration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MoI, MoJ, State Administration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MoI, MoJ, State Administration, at least 1 CSO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MoI, MoJ, State Administration, at least 2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Interior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Training Reports, participant lists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local women organizations play a greater role in and benefit equally from gender-responsive humanitarian response and recovery efforts.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21,260.00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91,260.00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159,172.00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76,260.00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235,432.00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159,172.00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76,260.00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235,432.00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capacity of government and non-governmental stakeholders is strengthened to more effectively assess and report progress on the 2030 Agenda and other global normative and policy frameworks for GEWE, and government accountability is strengthened</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Cross-cutting-  (UNSDCF OUTCOME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most excluded people of Timor-Leste are empowered to claim their rights, including freedom from violence, through accessible, accountable and gender responsive governance systems, institutions and services at national and subnational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and non-governmental stakeholders’ capacities strengthened to assess and report on progress on the 2030 Agenda and other global normative and policy frameworks for GEWE and government accountability is strengthened (Contributes to UNSDCF Outcome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SN Indicator 1.1 (SP Indicator 1.3): Percentage of voluntary national reviews to the High-level Political Forum on sustainable development (HLPF) that integrate gender perspectives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VNR planned for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VNR conducted in 2019 included gender perspectives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analysis of VNR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SN Indicator 1.2: (UNSDCF Indicator 5.1.3): Percentage of Universal Periodic Review (UPR) recommendations implemented by the Government of Timor-Leste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UPR to be submitted in 2021, so recommendations will not be produced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Analysis of 2017 UPR to be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Analysis of 2017 UPR to be conducted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6.1C:  </w:t>
            </w:r>
            <w:r>
              <w:rPr>
                <w:rFonts w:ascii="[FontFamily: Name=Calibri]" w:hAnsi="[FontFamily: Name=Calibri]" w:cs="[FontFamily: Name=Calibri]" w:eastAsia="[FontFamily: Name=Calibri]"/>
                <w:sz w:val="18"/>
                <w:szCs w:val="18"/>
              </w:rPr>
              <w:t>Number of non-state actors that have submitted reports on national efforts to advance GEWE commitments (alternative/shadow reports- VNRs, CEDAW reports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Rede Feto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5 non-state actors that have submitted reports on national efforts to advance GEWE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reports submitted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stakeholders have improved capacity to monitor and report on progress implementing international and national GEWE commitments, including through increased knowledge and skills in the use of gender statistics and engaging in evidence-based dialogue</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State CEDAW reports submitted with UN Women’s support include reference to GR 37 on climate, disaster and humanitarian (adapted from SP Indicator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for subsequent CEDAW Report (date due 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State Report submitted in 2019; resubmitted in  January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NA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Depend on review of CEDAW State Report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Depend on review of CEDAW State Report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State Report submission included UNW inputs and edits, but did not include reference to GR 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non-state actors that have submitted reports on national efforts to advance GEWE commitments (alternative/shadow reports- VNRs, CEDAW reports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(2 orgs)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non-state actors reports are submitted once in 4 years. The last report was submitted in 2019 and was expected to be endorsed by CEDAW report committee. The next reporting period (year) will be decided after the previous reports are endorsed and presented. So, the endorsement and the presentation of the current reports will happen either in 2022 or 2023.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TLCO will submit UNCT report for 83rd CEDAW Committee pre-session working group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non-state actors reports are submitted once in 4 years. The last report was submitted in 2019 and was expected to be endorsed by CEDAW report committee. The next reporting period (year) will be decided after the previous reports are endorsed and presented. So, the endorsement and the presentation of the current reports will happen either in 2022 or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the 2 CEDAW reports + 2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Women’s Network is preparing a report for the CEDAW Committee, no CSO report submitted for SDGs, 1325, B+25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non-state actors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Number of stakeholders with strengthened capacities to monitor and report on national GEWE commitments (incl. government institutions/CSOs/youth-led networks/media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Digital literacy 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6.1.1D:  </w:t>
            </w:r>
            <w:r>
              <w:rPr>
                <w:rFonts w:ascii="[FontFamily: Name=Calibri]" w:hAnsi="[FontFamily: Name=Calibri]" w:cs="[FontFamily: Name=Calibri]" w:eastAsia="[FontFamily: Name=Calibri]"/>
                <w:sz w:val="18"/>
                <w:szCs w:val="18"/>
              </w:rPr>
              <w:t>Number of national multi-stakeholder platforms and/or campaigns facilitated, to strengthen national accountabilities to advance GEWE commitments:  (adapted from SP Indicator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2021: 2 (NAP GBV, Gender Coordination)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3 (NAP GBV, Gender Coordination, Municipal GWG)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2023: 3 (NAP GBV, Gender Coordination, 1 Municipal GWG)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2024: 4 (NAP GBV, Gender Coordination, 1 Municipal GWG, Inter-ministerial GWG)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2025: 5 (NAP GBV, Gender Coordination, at least 1 Municipal GWG)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Gender Coordination Group is Facilitated by SEII and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 reports from Coordination Groups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41,660.00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61,660.00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 Women in skills or abilities and capacities of individuals 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institutions and/or the availability of new products and services contributing to UN system coordination for gender equality.</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58,340.00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73,340.00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231,680.00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93,340.00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293,340.00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93,340.00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293,340.00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most excluded people of Timor-Leste are empowered to claim their rights, including freedom from violence, through accessible, accountable and gender responsive governance systems, institutions and services at national and subnational levels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the most excluded people of Timor-Leste are empowered to claim their rights, including freedom from violence, through accessible, accountable and gender responsive governance systems, institutions and services at national and subnational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most excluded people of Timor-Leste are empowered to claim their rights, including freedom from violence, through accessible, accountable and gender responsive governance systems, institutions and services at national and subnational levels (UNSDCF OUTCOME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Spotlight Outcome Indicator 1.2 Timor-Leste has national and/or sub-national evidence-based, costed action plans and monitoring and evaluation (M&amp;E) frameworks on ending VAWG, including DV/IPV, that respond to the rights of all women and girls and are developed in a participatory manner (linked to SP Output (Indicator 4.11.1)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NAP GBV will only be developed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See Spotlight Methodological Notes. NAP GBV scores 4 points. There are no sub-national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Assessment Report based on Spotlight Methodological Notes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Spotlight Outcome Indicator 2.1 Existence of functioning national and/or sub-national coordination and oversight mechanisms at the highest levels for addressing VAWG, including DV/IPV, that include representation from marginalized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Will be included under 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as per SI Methodological guidance and criteria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With new NAP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as per SI Methodological guidance and criteria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as per SI Methodological guidance and criteria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TL's NAP GBV Coordination Mechanism does not meet criteria as per methodological note.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Reports/ See Spotlight Methodological Note for Guidance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Spotlight Outcome Indicator 2.2 Percentage of national budget being allocated to the prevention and elimination of all forms of VAWG, including IPV/DV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Estimated allocation based on analysis of state budget - 2019, 2020 data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analysis of State Budget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Spotlight Outcome Indicator 3.3. Number of evidence-based, transformative/comprehensive prevention strategies/programmes that address the rights of those marginalized and are developed in a participatory manner (adapted from SN 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Prevention strategy, faith-based, whole-school or scouts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by end of SI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Via Spotlight, prevention strategy, whole-school and faith-based approaches planned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reporting based on SI methodological notes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3.1E:  </w:t>
            </w:r>
            <w:r>
              <w:rPr>
                <w:rFonts w:ascii="[FontFamily: Name=Calibri]" w:hAnsi="[FontFamily: Name=Calibri]" w:cs="[FontFamily: Name=Calibri]" w:eastAsia="[FontFamily: Name=Calibri]"/>
                <w:sz w:val="18"/>
                <w:szCs w:val="18"/>
              </w:rPr>
              <w:t>Spotlight Outcome Indicator 6.1 Proportion of women's rights organizations, autonomous social movements and relevant CSOs,  that increase their coordinated efforts to jointly advocate on ending VAWG, including DV/IPV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support to Pillar 6 under 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See SI Methodological Guidance - 2022 end of 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total CSOs to be confirmed. in 2020, 14 organizations working on COVID-19 Responses coordinated via Rede Feto are looking at socio-economic impact of C-19, including issues related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See SI Methodological Guidance - collected as part of data for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3.1F:  </w:t>
            </w:r>
            <w:r>
              <w:rPr>
                <w:rFonts w:ascii="[FontFamily: Name=Calibri]" w:hAnsi="[FontFamily: Name=Calibri]" w:cs="[FontFamily: Name=Calibri]" w:eastAsia="[FontFamily: Name=Calibri]"/>
                <w:sz w:val="18"/>
                <w:szCs w:val="18"/>
              </w:rPr>
              <w:t>Spotlight Outcome Indicator 6.2. Proportion of women's rights organisations, autonomous social movements and CSOs, including those representing youth and groups facing multiple and intersecting forms of discrimination/marginalization, report having greater influence and agency to work on ending VAWG, including DV/IPV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SI PProgramme- will be adjusted after baseline findings reported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Data not yet available- baseline to be completed by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 survey of SI CSO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3.1G:  </w:t>
            </w:r>
            <w:r>
              <w:rPr>
                <w:rFonts w:ascii="[FontFamily: Name=Calibri]" w:hAnsi="[FontFamily: Name=Calibri]" w:cs="[FontFamily: Name=Calibri]" w:eastAsia="[FontFamily: Name=Calibri]"/>
                <w:sz w:val="18"/>
                <w:szCs w:val="18"/>
              </w:rPr>
              <w:t>(UNSDCF Indicator 5.c) SN Indicator 3. Proportion of ever-partnered women and girls aged 15 years and older subjected to physical and/or, sexual violence by a current or former intimate partner, in the previous 12 months, by form of violence and by age (SDG Indicator 5.2.1)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Next DHS to be conducted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Next DHS To be conducted in 2023 (TBC)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Latest data available from 2016 DHS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DHS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3.1H:  </w:t>
            </w:r>
            <w:r>
              <w:rPr>
                <w:rFonts w:ascii="[FontFamily: Name=Calibri]" w:hAnsi="[FontFamily: Name=Calibri]" w:cs="[FontFamily: Name=Calibri]" w:eastAsia="[FontFamily: Name=Calibri]"/>
                <w:sz w:val="18"/>
                <w:szCs w:val="18"/>
              </w:rPr>
              <w:t>SN Indicator 3.1 (UNSDCF Indicator 5.1.2; SDG Indicator 10.3.1): Proportion of population reporting having personally felt discriminated against or harassed in the previous 12 months on the basis of a ground of discrimination prohibited under international human rights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Methodology for reporting 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 - SDG Tier 2 indicator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3.1I:  </w:t>
            </w:r>
            <w:r>
              <w:rPr>
                <w:rFonts w:ascii="[FontFamily: Name=Calibri]" w:hAnsi="[FontFamily: Name=Calibri]" w:cs="[FontFamily: Name=Calibri]" w:eastAsia="[FontFamily: Name=Calibri]"/>
                <w:sz w:val="18"/>
                <w:szCs w:val="18"/>
              </w:rPr>
              <w:t>SN Indicator 3.2 (UNSDCF Indicator 5.4.1): Percentage of population who think it is justifiable for a man to subject his wife/intimate partner to violence, by age and sex. (SP Indicator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 Men; 50%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based on 2022 DHS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Next DHS expected to take place in 2023 (TBC)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 Men; 74% women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Based on 2016 DHS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DHS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3.1J:  </w:t>
            </w:r>
            <w:r>
              <w:rPr>
                <w:rFonts w:ascii="[FontFamily: Name=Calibri]" w:hAnsi="[FontFamily: Name=Calibri]" w:cs="[FontFamily: Name=Calibri]" w:eastAsia="[FontFamily: Name=Calibri]"/>
                <w:sz w:val="18"/>
                <w:szCs w:val="18"/>
              </w:rPr>
              <w:t>SN Indicator 3.3. (UNSDCF Indicator 5.4.2): Proportion of women, including those facing intersecting and multiple forms of discrimination, who report experiencing physical or sexual violence who seek help, by sector (SP Indicator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Next DHS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Next DHS expected to take place in 2023 (TBC)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Based on 2016 DHS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DHS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3.1K:  </w:t>
            </w:r>
            <w:r>
              <w:rPr>
                <w:rFonts w:ascii="[FontFamily: Name=Calibri]" w:hAnsi="[FontFamily: Name=Calibri]" w:cs="[FontFamily: Name=Calibri]" w:eastAsia="[FontFamily: Name=Calibri]"/>
                <w:sz w:val="18"/>
                <w:szCs w:val="18"/>
              </w:rPr>
              <w:t>Adapted from SP Indicator 3.4: Number of cities supported by UN-Women where data on prevalence of sexual harassment against women and girls in public spaces is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Cities: Dili and Baucau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Cities: Dili and Baucau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Dili or Baucau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Dili or Baucau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Dili or Baucau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prevalence data on sexual harassment in public spaces is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institutions and civil society capacity to put in place legislative and policy frameworks for preventing and responding to VAWG and translate them into action is strengthened, using data and evidence to finance, implement and monitor EVAWG policies and plans at national and sub-national levels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Spotlight  1.1.3 Proportion of draft laws and/or policies on VAWG, including DV/IPV, and/or on gender equality and non-discrimination, which have received significant inputs from women’s rights advocates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2020, due to C-19, no policies on VAWG or GE were taken forward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monitoring. See SI methodological notes for details on calculations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Spotlight 1.2.1 Number of draft evidence-based national and/or sub-national action plans on ending VAWG, including DV/IPV, developed that respond to the rights of groups facing intersecting and multiple forms of discrimination with M&amp;E frameworks and proposed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NAP GBV - no sub-national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Spotlight  Output Indicator 2.3.1 Proportion of dedicated and multi-sectoral programmes developed that include proposed allocations of funds to end VAWG, including DV/IPV, within the last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NAP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NAP GBV Programme as part of State Budget.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Govt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Budget books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Spotlight  Indicator 5.2.1 Number of knowledge products developed and disseminated to the relevant stakeholders to inform evidence-based decision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VAW Admin Data Guidelines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Including reports, manual developments, videos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 Knowledge Product tracking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 Knowledge Product tracking Indicator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Spotlight Output Indicator 5.2.3 Number of government personnel, including service providers, from different sectors with strengthened capacities on analysis and dissemination of prevalence and/or incidence data on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Capacity assessment reports of sectoral ministries and other relevant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assessment reports of sectoral ministries and other relevant organizations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81,408.00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528,980.00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169,115.00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911,903.00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KOICA Project Management Cost</w:t>
            </w:r>
          </w:p>
        </w:tc>
        <w:tc>
          <w:tcPr>
            <w:tcW w:w="5000" w:type="dxa"/>
          </w:tcPr>
          <w:p>
            <w:pPr/>
            <w:r>
              <w:rPr>
                <w:b/>
                <w:rFonts w:ascii="[FontFamily: Name=Calibri]" w:hAnsi="[FontFamily: Name=Calibri]" w:cs="[FontFamily: Name=Calibri]" w:eastAsia="[FontFamily: Name=Calibri]"/>
                <w:sz w:val="18"/>
                <w:szCs w:val="18"/>
              </w:rPr>
              <w:t xml:space="preserve">Indicator 3.1.11A:  </w:t>
            </w:r>
            <w:r>
              <w:rPr>
                <w:rFonts w:ascii="[FontFamily: Name=Calibri]" w:hAnsi="[FontFamily: Name=Calibri]" w:cs="[FontFamily: Name=Calibri]" w:eastAsia="[FontFamily: Name=Calibri]"/>
                <w:sz w:val="18"/>
                <w:szCs w:val="18"/>
              </w:rPr>
              <w:t>Percentage of KOICA Initiative delivered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Monthly finance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201,943.00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282,085.00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149,372.00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833,400.00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Individual and community stakeholders are mobilized to promote gender equitable social norms, attitudes and behaviours, including related to respectful relationships and safe public spaces, toward prevention of VAWG (Spotlight Outcome 3/ KOICA Outcome 1)</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Spotlight 3.2.1 Number of women, men, girls and boys who regularly attend community programmes to promote gender-equitable norms, attitudes and behaviours, including in relation to women and girls’ sexuality and reproduction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Reach delayed due to C-19 and school closures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Scouts intervention and CWR in schools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Estimated target by end of 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Maintained target for KOICA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Maintained target for KOICA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Maintained target for KOICA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UN Women's Connect with Respect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 - see Spotlight Methodological Guidance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KOICA Output Indicator 1.1. % of young people, parents and teachers, by sex, who demonstrate a change in gender attitudes after receiving training/being part of Connect with Respect.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set in KOICA Prodoc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KOICA -support will start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CWR Monitoring reports- pre-post from parenting work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3.1.3C:  </w:t>
            </w:r>
            <w:r>
              <w:rPr>
                <w:rFonts w:ascii="[FontFamily: Name=Calibri]" w:hAnsi="[FontFamily: Name=Calibri]" w:cs="[FontFamily: Name=Calibri]" w:eastAsia="[FontFamily: Name=Calibri]"/>
                <w:sz w:val="18"/>
                <w:szCs w:val="18"/>
              </w:rPr>
              <w:t xml:space="preserve">KOICA Number of participants completing WEE-EVAW entrepreneurship training, by sex, age and disability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Target: 400: 100 per municipality)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Pilot WEE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municipality (Baucau, Covalima or Oecusse)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municipality (Baucau, Covalima or Oecusse)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municipality (Baucau, Covalima or Oecusse)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Ciumulative -1 municipality (Baucau, Covalima or Oecusse)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(Annual partner monitoring, monitoring of capacity development of women’s groups 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3.1.3D:  </w:t>
            </w:r>
            <w:r>
              <w:rPr>
                <w:rFonts w:ascii="[FontFamily: Name=Calibri]" w:hAnsi="[FontFamily: Name=Calibri]" w:cs="[FontFamily: Name=Calibri]" w:eastAsia="[FontFamily: Name=Calibri]"/>
                <w:sz w:val="18"/>
                <w:szCs w:val="18"/>
              </w:rPr>
              <w:t>KOICA Output Indicator 3.1: Percentage of villages in Baucau, Covalima and Oecusse who have at least one public champion against VAWG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 - The project document indicates target of 80% at the end of the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 - The project document indicates target of 80% at the end of the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starting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 monitoring; media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774,450.00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957,563.00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211,680.00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2,388,427.00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who experience violence (including LGBTIQ persons, persons with disabilities and women who face multiple forms of discrimination) have increased access to information and peer support to use available, accessible and quality essential services, including for long term recovery from violence (Spotlight Outcome 4) + KOICA 1.3</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Spotlight  4.2.1 Number of women and girls’ survivors of VAWG, including DV/IPV, that have increased knowledge of and access to quality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 after baseline assessment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 after baseline assessment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 after baseline assessment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data available as of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SI methodological guidance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KOICA Output Indicator 1.3. Number of project administrative posts with peer-support mechanisms providing information on services and counselling for victims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4 administrative posts have peer-support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Estimated target for year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4 administrative posts have peer-support mechanism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4 administrative posts have peer-support mechanism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collected during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on Timor-Leste NAP GBV indicator 2.3.1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218,777.00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514,729.00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organizations and advocates representing youth and groups facing multiple forms of discrimination strengthen women's voice and agency and more effectively influence and advance progress for GEWE and ending VAWG (Spotlight Outcome 6)</w:t>
            </w:r>
          </w:p>
        </w:tc>
        <w:tc>
          <w:tcPr>
            <w:tcW w:w="5000" w:type="dxa"/>
          </w:tcPr>
          <w:p>
            <w:pPr/>
            <w:r>
              <w:rPr>
                <w:b/>
                <w:rFonts w:ascii="[FontFamily: Name=Calibri]" w:hAnsi="[FontFamily: Name=Calibri]" w:cs="[FontFamily: Name=Calibri]" w:eastAsia="[FontFamily: Name=Calibri]"/>
                <w:sz w:val="18"/>
                <w:szCs w:val="18"/>
              </w:rPr>
              <w:t xml:space="preserve">Indicator 3.1.6A:  </w:t>
            </w:r>
            <w:r>
              <w:rPr>
                <w:rFonts w:ascii="[FontFamily: Name=Calibri]" w:hAnsi="[FontFamily: Name=Calibri]" w:cs="[FontFamily: Name=Calibri]" w:eastAsia="[FontFamily: Name=Calibri]"/>
                <w:sz w:val="18"/>
                <w:szCs w:val="18"/>
              </w:rPr>
              <w:t>Spotlight  6.1.2 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1 dialogue to be planned under Spotlight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SI Methodological Guidance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SI Methodological Guidance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3.1.6B:  </w:t>
            </w:r>
            <w:r>
              <w:rPr>
                <w:rFonts w:ascii="[FontFamily: Name=Calibri]" w:hAnsi="[FontFamily: Name=Calibri]" w:cs="[FontFamily: Name=Calibri]" w:eastAsia="[FontFamily: Name=Calibri]"/>
                <w:sz w:val="18"/>
                <w:szCs w:val="18"/>
              </w:rPr>
              <w:t>Spotlight  6.3.1 Number of women's rights groups and relevant CSOs representing groups facing multiple and intersecting forms of discrimination/marginalization that have strengthened capacities and support to design, implement, monitor and evaluate their own programmes on ending VAWG, including DV/IPV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Exact number TBD after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9 CSOs targeted through Spotlight capacity development (Arcoiris, CODIVA, Rede Feto, Ajar, Acbit, Alola, Mane ho Vizaun Foun, FONGTIL)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Cumulative total.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SI Methodological Guidance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910,678.00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1,112,487.00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Project Management Cost</w:t>
            </w:r>
          </w:p>
        </w:tc>
        <w:tc>
          <w:tcPr>
            <w:tcW w:w="5000" w:type="dxa"/>
          </w:tcPr>
          <w:p>
            <w:pPr/>
            <w:r>
              <w:rPr>
                <w:b/>
                <w:rFonts w:ascii="[FontFamily: Name=Calibri]" w:hAnsi="[FontFamily: Name=Calibri]" w:cs="[FontFamily: Name=Calibri]" w:eastAsia="[FontFamily: Name=Calibri]"/>
                <w:sz w:val="18"/>
                <w:szCs w:val="18"/>
              </w:rPr>
              <w:t xml:space="preserve">Indicator 3.1.7A:  </w:t>
            </w:r>
            <w:r>
              <w:rPr>
                <w:rFonts w:ascii="[FontFamily: Name=Calibri]" w:hAnsi="[FontFamily: Name=Calibri]" w:cs="[FontFamily: Name=Calibri]" w:eastAsia="[FontFamily: Name=Calibri]"/>
                <w:sz w:val="18"/>
                <w:szCs w:val="18"/>
              </w:rPr>
              <w:t>Percentage of Spotlight Initiative delivered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reported under the Spotlight Initiative. The Spotlight Initiative will end in 2022 Q2. There will be no target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2020 Budget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delivery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97,837.00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633,837.00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2,698,463.00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2,287,051.00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584,151.00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425,118.00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6,394,783.00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2,698,463.00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2,287,051.00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584,151.00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425,118.00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6,394,783.00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cfd9c8a12abd44f8" Type="http://schemas.openxmlformats.org/officeDocument/2006/relationships/footer" Target="/word/footer1.xml"/><Relationship Id="Rda1ce3f062ed4bfe" Type="http://schemas.openxmlformats.org/officeDocument/2006/relationships/footer" Target="/word/footer2.xml"/><Relationship Id="rId3" Type="http://schemas.openxmlformats.org/officeDocument/2006/relationships/customXml" Target="../customXml/item3.xml"/><Relationship Id="R3eb296a384a94a85" Type="http://schemas.openxmlformats.org/officeDocument/2006/relationships/settings" Target="/word/settings.xml"/><Relationship Id="rId2" Type="http://schemas.openxmlformats.org/officeDocument/2006/relationships/customXml" Target="../customXml/item2.xml"/><Relationship Id="Rdd048bec095a451b" Type="http://schemas.openxmlformats.org/officeDocument/2006/relationships/numbering" Target="/word/numbering.xml"/><Relationship Id="Rae57f2360d8940f5" Type="http://schemas.openxmlformats.org/officeDocument/2006/relationships/image" Target="/word/media/d91b43b1-d1ec-4048-93de-ebeba275e855.jpeg"/><Relationship Id="rId1" Type="http://schemas.openxmlformats.org/officeDocument/2006/relationships/customXml" Target="../customXml/item1.xml"/><Relationship Id="Re8ecc3c96d2046e7" Type="http://schemas.openxmlformats.org/officeDocument/2006/relationships/footer" Target="/word/footer3.xml"/><Relationship Id="Rf42db019273e4404" Type="http://schemas.openxmlformats.org/officeDocument/2006/relationships/styles" Target="/word/styles.xml"/><Relationship Id="R36b13ddfd65f45a1" Type="http://schemas.openxmlformats.org/officeDocument/2006/relationships/image" Target="/word/media/ddbe244a-0189-4491-8289-606fe098b3ef.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38B63FAB-8CF0-452A-B87A-8583891873E0}"/>
</file>

<file path=customXml/itemProps2.xml><?xml version="1.0" encoding="utf-8"?>
<ds:datastoreItem xmlns:ds="http://schemas.openxmlformats.org/officeDocument/2006/customXml" ds:itemID="{8661515C-EAF0-49D4-8947-6ACFD688B179}"/>
</file>

<file path=customXml/itemProps3.xml><?xml version="1.0" encoding="utf-8"?>
<ds:datastoreItem xmlns:ds="http://schemas.openxmlformats.org/officeDocument/2006/customXml" ds:itemID="{29072601-570E-42E2-BF04-AC7C40A683D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