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5251fc14e8ef478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d4fa609b92a4c28"/>
      <w:footerReference w:type="even" r:id="R91cb60b523464b38"/>
      <w:footerReference w:type="first" r:id="R0132f78bebea44ea"/>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66fca979f14695"/>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bd0ae34ed849e3"/>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Uganda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Governance &amp; Gender sensitive Peace &amp; Security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Uganda has inclusive and accountable governance systems and people are empowered, engaged and enjoy human rights, peace, justice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and Accountable Governance and Women’s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and systems at national and sub-national levels are effective and accountable in line with national, regional and international obligations and commitments.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policy and legal frameworks developed and implemented for promotion of democracy, accountability, equal opportunities, and pro-poor growth in line with international human rights standards, obligations, and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State and Non state actors supported to assess progress in implementation of the BPFoA and other global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708,058.00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people especially marginalized and vulnerable groups to participate and benefit from governance and development at all levels.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Proportion of voter turnout by elective category and electoral levels [i.e., youth, constituency representatives, workers unions, PWDS, elderly …]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59.4%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No. of women and girls by category whose capacity has been strengthened to engage on elective politics and other governance processes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1,521,918.00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1,421,918.00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2,943,836.00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Gender Responsive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state and non-state actors at local, national, and regional levels strengthened to sustain peace and security.</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Proportion of public with confidence in the security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Existence of a functional infrastructure for peace (National coordination structure for NAP implementation, District peace structures, CEWERU)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Satisfactory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Fair</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No. of institutions of the justice and security sectors with strengthened capacity to mainstream gender perspectives and promote the rights of women and girls in conflict, post conflict and other crisis situations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1.2.1D:  </w:t>
            </w:r>
            <w:r>
              <w:rPr>
                <w:rFonts w:ascii="[FontFamily: Name=Calibri]" w:hAnsi="[FontFamily: Name=Calibri]" w:cs="[FontFamily: Name=Calibri]" w:eastAsia="[FontFamily: Name=Calibri]"/>
                <w:sz w:val="18"/>
                <w:szCs w:val="18"/>
              </w:rPr>
              <w:t>Proportion of NAP III budget that has been funded with UN Women CO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4,233,064.00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4,233,064.00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8,466,128.00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1,875,947.00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1,775,947.00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3,651,894.00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4,233,064.00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4,233,064.00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8,466,128.00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6,109,011.00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6,009,011.00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12,118,022.00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Shared Prosperity in a Healthy Environment for all Women &amp; Girls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(a) By 2025, people especially the marginalized and vulnerable, benefit from increased productivity, decent employment and equal rights to resources; (b) By 2025, Uganda’s natural resources and environment are sustainably managed, protected and people especially the vulnerable and marginalized, have the capacity to mitigate and adapt to climate change and disaster risks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productivity, income and access to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institutions and people, especially the vulnerable and marginalized, to promote the delivery and adoption of integrated, innovative, equitable and inclusive strategies for improved productivity, value chain enhancement and market access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entrepreneurs and businesses that have gained business skills for competitiveness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Government institutions supported to make their procurement systems more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1,312,238.00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especially women and youth, have improved access to and utilize innovative practices, technology, finances, natural and productive resources for decent employment and livelihoods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new and/or improved gender-responsive policies on land developed and/or being implemented with the support of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women and girls supported to understand their land rights and know where to pursue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public and private sector organizations to increase investments in productive sectors and develop and implement responsive policies and regulations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Vulnerable women have the capacity to mitigate and adapt to CC &amp; DRs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public and private institutions and communities to sustainably manage natural resources and protect vital ecosystems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capacity of institutions and communities to mitigate and adapt to climate change and disaster risks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Proportion of women farmers who have adopted CSA technologies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and equitable access to and use of modern, renewable, and affordable energy sources and services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726,119.00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726,119.00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1,452,238.00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1,483,619.00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1,483,619.00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2,967,238.00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 Well-Being and Resilience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(a) By 2025, all people, in particular vulnerable and marginalized groups, have improved access to and utilization of quality basic social and protection services; (b) By 2025, gender equality and human rights of people in Uganda are promoted, protected and fulfilled in a culturally responsive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&amp; Girls Enjoy Quality Basic Social and Protection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Percentage of national budget allocated to gender equality and women’s empowerment out of total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Proportion of government and non-government actors with systems to track and make public allocations to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government and non-government institutions at national and sub-national levels to effectively manage and deliver sustainable and inclusive quality social and protection services.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Percentage share of districts benefiting from social protection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No. of key actors in government and non-government sectors with skills in planning and implementing gender responsive social and protection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especially the vulnerable and marginalized are empowered to utilize quality basic social and protection services.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No. of women accessing legal aid and referral services for VAWG in targeted programme areas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No.  of women and girls in target districts especially the most at risk of VAWG who are aware of their rights,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4,110,102.00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1,580,750.00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5,690,852.00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policy and regulatory environment to promote equitable access and utilization of rights-based and gender responsive social and protection services that prevent, mitigate and respond to shocks and stress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3,516,016.00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2,496,092.00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6,012,108.00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and Women Rights Fulfilled in a Culturally Responsive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National Budget compliance to Gender and Equity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government and non-government institutions at regional, national, and sub-national level to uphold positive social, cultural norms, values and practices that promote human rights, equality, and non-discrimination</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Proportion of targeted government and non-government institutions with programmes/ initiatives addressing values and practices that promote human rights, equality, and non-discrimination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targeted institutions with policies and procedures for dealing with sexual harassment, discrimination, harmful practices, VAC, VAW and other forms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No.  of community members (disaggregated by sex) in the target districts reached through multi-media channels with messages promoting non-tolerance for VAWG, impact and the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1,073,655.00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1,113,655.00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of public and private sector actors to produce, analyze and use gender statistics, sex-disaggregated data and knowledge to inform policymaking, advocacy and accountability for delivering Gender Equality and Women's Empowerment results and SDGs in a more sustainable manner.</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Total value in UGX financial commitments and Expenditures on GEWE priority issues by MDAs and or DLGs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800BN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60BN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Proportion of line ministries and local governments that have prioritized gender and equity issues in their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Number of National Plans and Strategies that integrate gender statistics as an objective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3.2.2D:  </w:t>
            </w:r>
            <w:r>
              <w:rPr>
                <w:rFonts w:ascii="[FontFamily: Name=Calibri]" w:hAnsi="[FontFamily: Name=Calibri]" w:cs="[FontFamily: Name=Calibri]" w:eastAsia="[FontFamily: Name=Calibri]"/>
                <w:sz w:val="18"/>
                <w:szCs w:val="18"/>
              </w:rPr>
              <w:t>Number of National Ministries, Departments and Agencies that integrate gender statistics with localized gender-related SDG targets &amp;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VNR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3.2.2E:  </w:t>
            </w:r>
            <w:r>
              <w:rPr>
                <w:rFonts w:ascii="[FontFamily: Name=Calibri]" w:hAnsi="[FontFamily: Name=Calibri]" w:cs="[FontFamily: Name=Calibri]" w:eastAsia="[FontFamily: Name=Calibri]"/>
                <w:sz w:val="18"/>
                <w:szCs w:val="18"/>
              </w:rPr>
              <w:t>No. of knowledge products on gender data production, availability and needs produced and disseminated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653,400.00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7,902,118.00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4,332,842.00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12,234,960.00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1,767,055.00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9,302,473.00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4,699,542.00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14,002,015.00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db81190d3a9c498d" Type="http://schemas.openxmlformats.org/officeDocument/2006/relationships/styles" Target="/word/styles.xml"/><Relationship Id="R202dbd7a35ae491d" Type="http://schemas.openxmlformats.org/officeDocument/2006/relationships/settings" Target="/word/settings.xml"/><Relationship Id="Rdd4fa609b92a4c28" Type="http://schemas.openxmlformats.org/officeDocument/2006/relationships/footer" Target="/word/footer1.xml"/><Relationship Id="rId3" Type="http://schemas.openxmlformats.org/officeDocument/2006/relationships/customXml" Target="../customXml/item3.xml"/><Relationship Id="R91cb60b523464b38" Type="http://schemas.openxmlformats.org/officeDocument/2006/relationships/footer" Target="/word/footer2.xml"/><Relationship Id="R0132f78bebea44ea" Type="http://schemas.openxmlformats.org/officeDocument/2006/relationships/footer" Target="/word/footer3.xml"/><Relationship Id="Re7bd0ae34ed849e3" Type="http://schemas.openxmlformats.org/officeDocument/2006/relationships/image" Target="/word/media/b7dfab1e-0b3b-4fba-85ca-6f83c74cd261.jpeg"/><Relationship Id="rId2" Type="http://schemas.openxmlformats.org/officeDocument/2006/relationships/customXml" Target="../customXml/item2.xml"/><Relationship Id="R540d22db439b4733" Type="http://schemas.openxmlformats.org/officeDocument/2006/relationships/numbering" Target="/word/numbering.xml"/><Relationship Id="rId1" Type="http://schemas.openxmlformats.org/officeDocument/2006/relationships/customXml" Target="../customXml/item1.xml"/><Relationship Id="R5f66fca979f14695" Type="http://schemas.openxmlformats.org/officeDocument/2006/relationships/image" Target="/word/media/febfc7ed-dbaa-4f4c-914a-f4bc574d9457.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E4694DC5-1E33-40D9-A43C-AB9F257CEF30}"/>
</file>

<file path=customXml/itemProps2.xml><?xml version="1.0" encoding="utf-8"?>
<ds:datastoreItem xmlns:ds="http://schemas.openxmlformats.org/officeDocument/2006/customXml" ds:itemID="{3AA065FA-677F-4A9D-BC8E-14A13D72C2CC}"/>
</file>

<file path=customXml/itemProps3.xml><?xml version="1.0" encoding="utf-8"?>
<ds:datastoreItem xmlns:ds="http://schemas.openxmlformats.org/officeDocument/2006/customXml" ds:itemID="{9CF2EDE8-5A9B-406E-B9B4-372919AE954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