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a7a4772a00fa4c35"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524a152a12564935"/>
      <w:footerReference w:type="even" r:id="R89913678126f4731"/>
      <w:footerReference w:type="first" r:id="R37980cc37ee14013"/>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99616621ce4f68"/>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4036a676af4341"/>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Vanuatu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3 Sustainable and Inclusive Economic Empowerment By 2022, people in the Pacific in particular youth, women and vulnerable groups, benefit from inclusive and sustainable economic development that creates decent jobs, reduces multi–dimensional poverty and inequalities, and promotes economic empowerment Outcome 5 Governance and Community Engagement By 2022, people and communities in the Pacific will contribute to and benefit from inclusive, informed and transparent decision making processes; accountable and responsive institutions; and improved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Inclusive, effective and representative marketplace groups are created and grow, contributing to gender, social and economic advancement, the elimination of gender-based discrimination and violence and expanded economic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marketplaces that have registered MVAs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 Associations (MVAs) are established and are strong and representative organisations for women market vendors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market places with MVA Executive Committees with at least 50% women’s in leadership roles.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MVA Election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67,760.00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279,368.00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MVA Executive Committees lead their MVAs and represent the interests of market vendors with local government and market management</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MVAs that demonstrate inclusive and representative actions through provision of services to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MVAs that demonstrate financial sustainability through the development of strategic plans, resource mobilisation strategies and sound financial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39,301.00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39,301.00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and urban women market vendors actively participate in MVAs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MVA members (increasing membership demonstrates increasing confidence in MVA).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3606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socio-economic security of urban and rural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women entrepreneurs in Vanuatu supported to access finance and gender-responsive financial products and services, with UN Women’s support (SP indicator 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827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vendors have increased agency over financial decision making in their business and at the household level</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market vendors (in pilot) who report agreed home finance plan with spouse / family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31,409.00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153,306.00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279,859.00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access of market vendors to gender inclusive financial and social services including digital services, access to savings, credit, payments, micro insurance, and other services/livelihood protection actions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market vendors  that access improved and accessible financial  and/or livelihood protection products for small and micro-businesses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vendors business is improved and more resilient as a result of an increase in business and financial skills (savings and recording) and access to digital literacy and online platforms</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Number of market vendors reached with financial and/or business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834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2.2.3B:  </w:t>
            </w:r>
            <w:r>
              <w:rPr>
                <w:rFonts w:ascii="[FontFamily: Name=Calibri]" w:hAnsi="[FontFamily: Name=Calibri]" w:cs="[FontFamily: Name=Calibri]" w:eastAsia="[FontFamily: Name=Calibri]"/>
                <w:sz w:val="18"/>
                <w:szCs w:val="18"/>
              </w:rPr>
              <w:t>Number of market vendors accessing digital literacy and online platforms.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35,235.00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35,235.00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 in economic and sustainable livelihoods through improved resilient and climate smart agricultural practices and value adding</w:t>
            </w:r>
          </w:p>
        </w:tc>
        <w:tc>
          <w:tcPr>
            <w:tcW w:w="5000" w:type="dxa"/>
          </w:tcPr>
          <w:p>
            <w:pPr/>
            <w:r>
              <w:rPr>
                <w:b/>
                <w:rFonts w:ascii="[FontFamily: Name=Calibri]" w:hAnsi="[FontFamily: Name=Calibri]" w:cs="[FontFamily: Name=Calibri]" w:eastAsia="[FontFamily: Name=Calibri]"/>
                <w:sz w:val="18"/>
                <w:szCs w:val="18"/>
              </w:rPr>
              <w:t xml:space="preserve">Indicator 2.2.4A:  </w:t>
            </w:r>
            <w:r>
              <w:rPr>
                <w:rFonts w:ascii="[FontFamily: Name=Calibri]" w:hAnsi="[FontFamily: Name=Calibri]" w:cs="[FontFamily: Name=Calibri]" w:eastAsia="[FontFamily: Name=Calibri]"/>
                <w:sz w:val="18"/>
                <w:szCs w:val="18"/>
              </w:rPr>
              <w:t>Number of market vendors engaging in value-adding activities / improved agricultural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social security for market vendors through improved access to health, safety and other social services</w:t>
            </w:r>
          </w:p>
        </w:tc>
        <w:tc>
          <w:tcPr>
            <w:tcW w:w="5000" w:type="dxa"/>
          </w:tcPr>
          <w:p>
            <w:pPr/>
            <w:r>
              <w:rPr>
                <w:b/>
                <w:rFonts w:ascii="[FontFamily: Name=Calibri]" w:hAnsi="[FontFamily: Name=Calibri]" w:cs="[FontFamily: Name=Calibri]" w:eastAsia="[FontFamily: Name=Calibri]"/>
                <w:sz w:val="18"/>
                <w:szCs w:val="18"/>
              </w:rPr>
              <w:t xml:space="preserve">Indicator 2.2.5A:  </w:t>
            </w:r>
            <w:r>
              <w:rPr>
                <w:rFonts w:ascii="[FontFamily: Name=Calibri]" w:hAnsi="[FontFamily: Name=Calibri]" w:cs="[FontFamily: Name=Calibri]" w:eastAsia="[FontFamily: Name=Calibri]"/>
                <w:sz w:val="18"/>
                <w:szCs w:val="18"/>
              </w:rPr>
              <w:t>Number of market vendors who report increased access to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governments and market management are gender responsive and accountable to women market vendor needs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2.3A:  </w:t>
            </w:r>
            <w:r>
              <w:rPr>
                <w:rFonts w:ascii="[FontFamily: Name=Calibri]" w:hAnsi="[FontFamily: Name=Calibri]" w:cs="[FontFamily: Name=Calibri]" w:eastAsia="[FontFamily: Name=Calibri]"/>
                <w:sz w:val="18"/>
                <w:szCs w:val="18"/>
              </w:rPr>
              <w:t>Number of local governments in Vanuatu where there is evidence of increased gender mainstreaming in policy and practice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and commitment of local government and market management to draft, adopt and implement gender-responsive frameworks and engage in gender-responsive and resilient approaches to management and operations.</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gender-responsive frameworks with that have been drafted and adopted by local government and market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PMC and 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74,704.00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157,092.00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positive engagement and communications between MVAs, local governments, market management, and other decision-makers</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marketplaces with mechanisms in place aimed at improving communications between market management, MVAs and WMV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Womwn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Physical market structures and operating systems are improved to make markets more gender-responsive, safer, more accessible and sustainable, resilient to disaster risks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2.4A:  </w:t>
            </w:r>
            <w:r>
              <w:rPr>
                <w:rFonts w:ascii="[FontFamily: Name=Calibri]" w:hAnsi="[FontFamily: Name=Calibri]" w:cs="[FontFamily: Name=Calibri]" w:eastAsia="[FontFamily: Name=Calibri]"/>
                <w:sz w:val="18"/>
                <w:szCs w:val="18"/>
              </w:rPr>
              <w:t>Number of marketplaces with improved gender-responsive infrastructure that better meets the health, safety, universal access, and convenience needs of women market vendors.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activity reports and LLG infrastructure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Marketplace environment is more resilient to disaster risks, including climate change and pandemics</w:t>
            </w:r>
          </w:p>
        </w:tc>
        <w:tc>
          <w:tcPr>
            <w:tcW w:w="5000" w:type="dxa"/>
          </w:tcPr>
          <w:p>
            <w:pPr/>
            <w:r>
              <w:rPr>
                <w:b/>
                <w:rFonts w:ascii="[FontFamily: Name=Calibri]" w:hAnsi="[FontFamily: Name=Calibri]" w:cs="[FontFamily: Name=Calibri]" w:eastAsia="[FontFamily: Name=Calibri]"/>
                <w:sz w:val="18"/>
                <w:szCs w:val="18"/>
              </w:rPr>
              <w:t xml:space="preserve">Indicator 2.4.1A:  </w:t>
            </w:r>
            <w:r>
              <w:rPr>
                <w:rFonts w:ascii="[FontFamily: Name=Calibri]" w:hAnsi="[FontFamily: Name=Calibri]" w:cs="[FontFamily: Name=Calibri]" w:eastAsia="[FontFamily: Name=Calibri]"/>
                <w:sz w:val="18"/>
                <w:szCs w:val="18"/>
              </w:rPr>
              <w:t>Number of marketplaces that have agreed plans in place to prepare and respond to disasters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98,609.00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73,759.00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352,397.00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Marketplace infrastructure projects are developed in consultations with women and men market vendors, including vendors with disabilities.</w:t>
            </w:r>
          </w:p>
        </w:tc>
        <w:tc>
          <w:tcPr>
            <w:tcW w:w="5000" w:type="dxa"/>
          </w:tcPr>
          <w:p>
            <w:pPr/>
            <w:r>
              <w:rPr>
                <w:b/>
                <w:rFonts w:ascii="[FontFamily: Name=Calibri]" w:hAnsi="[FontFamily: Name=Calibri]" w:cs="[FontFamily: Name=Calibri]" w:eastAsia="[FontFamily: Name=Calibri]"/>
                <w:sz w:val="18"/>
                <w:szCs w:val="18"/>
              </w:rPr>
              <w:t xml:space="preserve">Indicator 2.4.2A:  </w:t>
            </w:r>
            <w:r>
              <w:rPr>
                <w:rFonts w:ascii="[FontFamily: Name=Calibri]" w:hAnsi="[FontFamily: Name=Calibri]" w:cs="[FontFamily: Name=Calibri]" w:eastAsia="[FontFamily: Name=Calibri]"/>
                <w:sz w:val="18"/>
                <w:szCs w:val="18"/>
              </w:rPr>
              <w:t>Number of marketplaces that have improved working conditions and environments including improved safety, security, health and hygiene, and disability access.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activity report, infrastructure checklist reviews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801,033.00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140,761.00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352,369.00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31,409.00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253,306.00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99,144.00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67,035.00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475,894.00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74,704.00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157,092.00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72,247.00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334,043.00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493,609.00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129,792.00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1,153,430.00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387,659.00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419,144.00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409,835.00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2,315,736.00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4 Equitable Basic Services By 2022, more people in the Pacific, particularly the most vulnerable, have increased equitable access to and utilisation of inclusive, resilient, and quality basic services Outcome 5 Governance and Community Engagement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Favourable social norms, attitudes and behaviours are promoted at community and individual levels to prevent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Percentage of individuals in target communities who have assisted a woman who was being beaten by her husband or partner in the last 12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partner (DWA) and civil society organisations have increased capacity to develop and implement national VAWG prevention strategies, policies, and programs to prevent VAWG, including social norms change.</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Existence of a national strategic document that guides prevention work in the country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Drafted and consulted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451,577.00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339,430.00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331,320.00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1,334,327.00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especially from particular groups (with disabilities, rural, sexual and gender minorities) from target countries, who experience violence have access to quality essential services (health, social service, police and justice) to recover from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Percentage of referrals by services providers (police, health, justice, etc.) to crisis centres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actors (Government and CSOs) develop best practice and standards and guidelines for multisector services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Percentage increase in the outreach of counselling services to women, especially rural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438,666.00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350,230.00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1,231,562.00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Frontline service providers have strengthened capacity to provide quality services to GBV survivors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GBV counselors registered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Relevant National Registration Authority Lists of DV Counselors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Increased overall technical capacity of select crisis centers on response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Tech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451,577.00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339,430.00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331,320.00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1,334,327.00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438,666.00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644,666.00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815,230.00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2,314,562.00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1,096,243.00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755,430.00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1,146,550.00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3,648,889.00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a64036a676af4341" Type="http://schemas.openxmlformats.org/officeDocument/2006/relationships/image" Target="/word/media/88bdf8d8-c41c-4b68-aae8-d0c769d13d18.jpeg"/><Relationship Id="rId3" Type="http://schemas.openxmlformats.org/officeDocument/2006/relationships/customXml" Target="../customXml/item3.xml"/><Relationship Id="Rbb27c0cba0104b1f" Type="http://schemas.openxmlformats.org/officeDocument/2006/relationships/styles" Target="/word/styles.xml"/><Relationship Id="Rb0f691a24459444c" Type="http://schemas.openxmlformats.org/officeDocument/2006/relationships/numbering" Target="/word/numbering.xml"/><Relationship Id="rId2" Type="http://schemas.openxmlformats.org/officeDocument/2006/relationships/customXml" Target="../customXml/item2.xml"/><Relationship Id="rId1" Type="http://schemas.openxmlformats.org/officeDocument/2006/relationships/customXml" Target="../customXml/item1.xml"/><Relationship Id="Rda99616621ce4f68" Type="http://schemas.openxmlformats.org/officeDocument/2006/relationships/image" Target="/word/media/62e6a920-fee1-464c-abab-e56614e35299.jpeg"/><Relationship Id="R524a152a12564935" Type="http://schemas.openxmlformats.org/officeDocument/2006/relationships/footer" Target="/word/footer1.xml"/><Relationship Id="R37980cc37ee14013" Type="http://schemas.openxmlformats.org/officeDocument/2006/relationships/footer" Target="/word/footer3.xml"/><Relationship Id="R4d4ce7e006fb412d" Type="http://schemas.openxmlformats.org/officeDocument/2006/relationships/settings" Target="/word/settings.xml"/><Relationship Id="R89913678126f4731"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9BF465F7-B9E2-4A90-8286-24BB4F715E6A}"/>
</file>

<file path=customXml/itemProps2.xml><?xml version="1.0" encoding="utf-8"?>
<ds:datastoreItem xmlns:ds="http://schemas.openxmlformats.org/officeDocument/2006/customXml" ds:itemID="{322508E2-73A9-4847-8B65-96EEFCB80349}"/>
</file>

<file path=customXml/itemProps3.xml><?xml version="1.0" encoding="utf-8"?>
<ds:datastoreItem xmlns:ds="http://schemas.openxmlformats.org/officeDocument/2006/customXml" ds:itemID="{FD745D87-B971-4F41-B80E-80C1153F182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