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690c78cf3c8d431d"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4bf660e6f214a08"/>
      <w:footerReference w:type="even" r:id="Re6f84525264d4e71"/>
      <w:footerReference w:type="first" r:id="R6cff46d9f0d543e3"/>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149c5d4d59415b"/>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45c8f2a6814490"/>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Samoa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UNPS outcomes: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Outcome 4 Equitable Basic Services By 2022, more people in the Pacific, particularly the most vulnerable, have increased equitable access to and utilisation of inclusive, resilient, and quality basic services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Governance and Community Engagement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men in target communities demonstrate support to survivors of violence and practice balanced power in their relationships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 of individuals in target communities who have assisted a woman who was being beaten by her husband or partner in the last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key partners’ progress/activity reports; UNW field monitoring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partners and civil society organizations have increased capacity to develop and - implement national prevention strategies, policies and programmes to prevent VAWG, including social norms change.</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 of individuals who attend training and other learning sessions, within CSOs and government agencies who demonstrate increased knowledge that men’s power over women and the community’s silence about it causes/contributes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 EVAW Tech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46,950.00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406,429.00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508,389.00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especially from particular groups (with disabilities, rural, sexual and gender minorities) from target countries, who experience violence have access to quality essential services (health, social service, police and justice) to recover from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 increase of referrals by services providers on cases of VAWG disaggragated by disability; rural and urban; and sexual &amp; gender minorities where possible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actors (government and CSO) develop and implement best practice standards and guidelines for multisector services.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inter-agency SOP signed by all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National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and I organisation-specific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new VAWG guidelines, protocols and materials produced that aligned with Essential Services best practice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Samoa Interagency Essential Services Guidelines (Jan 2021)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Essential Services Code of Conduct (2021)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Guide for Community Workers - Basic Steps to Responding to GBV and Child Welfare Reports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93,460.00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228,460.00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46,950.00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406,429.00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508,389.00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93,460.00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228,460.00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418,929.00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77,510.00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736,849.00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5 Governance and Community Engagement By 2022, people and communities in the Pacific will contribute to and benefit from inclusive, informed and transparent decision making processes; accountable and responsive institutions; and improved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perceived as equally legitimate and effective political leaders as men (FPI WPEL Outcome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Proportion of seats held by women in national parliament in Samoa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Inter-Parliamentary Union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community and civic understanding of, and support for, gender equality and women’s right to political participation (modified FPI WPEL Output 3.1)</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organisations in Samoa supported by UN Women to engage in community awareness programmes and national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people  accessing  civic awareness information in urban and rural communities via social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Source: Community Survey 2018: Number of Voter registration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OEC Communty Consultations and Outreach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Number of Media organizations accessing training on gender responsive reporting  related to  women, gender equality and 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5 mainstream media organizations for Gender Responsive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Media Survey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Media Training  and Media Survey 2021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179,250.00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546,252.00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understanding of national experience of promoting women's leadership &amp; lessons for the Pacific region</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knowledge products and research outputs published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36,273.00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117,326.00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78,421.00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232,022.00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326,273.00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296,576.00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155,421.00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778,274.00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326,273.00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296,576.00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155,421.00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778,274.00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6 Human Rights By 2022, people in the Pacific effectively enjoy strengthened legal framework and institutions that deliver human rights protection in accordance with international commitments under relevant treaties and Universal Periodic Review (UPR)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Global normative and policy frameworks for gender equality and women’s empowerment are implemented in Samoa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Line ministries that are able to apply GRB principles to National and Ministry budgets and provide detailed analysis of gender impacts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ministries have increased capacity to assess progress on the mplementation of the Beijing Platform for Action and other global normative and policy frameworks for gender equality and the empowerment of all women</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government ministries with increased capacity to carry out gender analysis and reviews to assess progress in implementation of global normative and policy frameworks for gender equality and the empowerment of all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 Outcome 3 : 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3 Sustainable and Inclusive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people in the Pacific in particular youth, women and vulnerable groups, benefit from inclusive and sustainable economic development that creates decent jobs, reduces multi–dimensional poverty and inequalities, and promotes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Governance and Community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people and communities in the Pacific will contribute to and benefit from inclusive, informed and transparent decision making processes; accountable and responsive institutions; and improved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effective and representative marketplace groups are created and grow, further enabled and recognised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Number of marketplaces with effective and sustainable MVAs.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Market assessments of potential MVA needs to be evaluated.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Quarterly and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2.3B:  </w:t>
            </w:r>
            <w:r>
              <w:rPr>
                <w:rFonts w:ascii="[FontFamily: Name=Calibri]" w:hAnsi="[FontFamily: Name=Calibri]" w:cs="[FontFamily: Name=Calibri]" w:eastAsia="[FontFamily: Name=Calibri]"/>
                <w:sz w:val="18"/>
                <w:szCs w:val="18"/>
              </w:rPr>
              <w:t>Number of marketplaces where MVAs are accountable to their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of MVAs that hold AGMs with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MVAs are established and are strong and representative organisations for WMV.</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MVA Executive Committees with at least 50% women in leadership roles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63,408.00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63,408.00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MVA Executive Committees lead their MVAs and represent the interests of market vendors with local government and market management</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MVAs that demonstrate inclusive and representative actions through provision of services to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2.3.2B:  </w:t>
            </w:r>
            <w:r>
              <w:rPr>
                <w:rFonts w:ascii="[FontFamily: Name=Calibri]" w:hAnsi="[FontFamily: Name=Calibri]" w:cs="[FontFamily: Name=Calibri]" w:eastAsia="[FontFamily: Name=Calibri]"/>
                <w:sz w:val="18"/>
                <w:szCs w:val="18"/>
              </w:rPr>
              <w:t>Number of MVAs that demonstrate financial sustainability through the development of strategic plans, resource mobilisation strategies and sound financial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and urban women market vendors actively participate in MVAs</w:t>
            </w:r>
          </w:p>
        </w:tc>
        <w:tc>
          <w:tcPr>
            <w:tcW w:w="5000" w:type="dxa"/>
          </w:tcPr>
          <w:p>
            <w:pPr/>
            <w:r>
              <w:rPr>
                <w:b/>
                <w:rFonts w:ascii="[FontFamily: Name=Calibri]" w:hAnsi="[FontFamily: Name=Calibri]" w:cs="[FontFamily: Name=Calibri]" w:eastAsia="[FontFamily: Name=Calibri]"/>
                <w:sz w:val="18"/>
                <w:szCs w:val="18"/>
              </w:rPr>
              <w:t xml:space="preserve">Indicator 2.3.3A:  </w:t>
            </w:r>
            <w:r>
              <w:rPr>
                <w:rFonts w:ascii="[FontFamily: Name=Calibri]" w:hAnsi="[FontFamily: Name=Calibri]" w:cs="[FontFamily: Name=Calibri]" w:eastAsia="[FontFamily: Name=Calibri]"/>
                <w:sz w:val="18"/>
                <w:szCs w:val="18"/>
              </w:rPr>
              <w:t>Number of MVA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(increasing membership demonstrates increasing confidence in MVA).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socio-economic security of women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2.4A:  </w:t>
            </w:r>
            <w:r>
              <w:rPr>
                <w:rFonts w:ascii="[FontFamily: Name=Calibri]" w:hAnsi="[FontFamily: Name=Calibri]" w:cs="[FontFamily: Name=Calibri]" w:eastAsia="[FontFamily: Name=Calibri]"/>
                <w:sz w:val="18"/>
                <w:szCs w:val="18"/>
              </w:rPr>
              <w:t>Number of WMV who report improved economic status based on increased income, savings or financial capital (loans, credit, savings, investments)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data assessment will inform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Marketplace assessment will provide baseline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Quarterly and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2.4B:  </w:t>
            </w:r>
            <w:r>
              <w:rPr>
                <w:rFonts w:ascii="[FontFamily: Name=Calibri]" w:hAnsi="[FontFamily: Name=Calibri]" w:cs="[FontFamily: Name=Calibri]" w:eastAsia="[FontFamily: Name=Calibri]"/>
                <w:sz w:val="18"/>
                <w:szCs w:val="18"/>
              </w:rPr>
              <w:t>Number of market vendors (in pilot) who report increased shared decision-making in the household on matters of finance, and similar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data assessment will inform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Market assessment will provide baseline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have increased agency over financial decision making in their business and at the household level</w:t>
            </w:r>
          </w:p>
        </w:tc>
        <w:tc>
          <w:tcPr>
            <w:tcW w:w="5000" w:type="dxa"/>
          </w:tcPr>
          <w:p>
            <w:pPr/>
            <w:r>
              <w:rPr>
                <w:b/>
                <w:rFonts w:ascii="[FontFamily: Name=Calibri]" w:hAnsi="[FontFamily: Name=Calibri]" w:cs="[FontFamily: Name=Calibri]" w:eastAsia="[FontFamily: Name=Calibri]"/>
                <w:sz w:val="18"/>
                <w:szCs w:val="18"/>
              </w:rPr>
              <w:t xml:space="preserve">Indicator 2.4.1A:  </w:t>
            </w:r>
            <w:r>
              <w:rPr>
                <w:rFonts w:ascii="[FontFamily: Name=Calibri]" w:hAnsi="[FontFamily: Name=Calibri]" w:cs="[FontFamily: Name=Calibri]" w:eastAsia="[FontFamily: Name=Calibri]"/>
                <w:sz w:val="18"/>
                <w:szCs w:val="18"/>
              </w:rPr>
              <w:t>Number of market vendors (in pilot) who report agreed home finance plan with spouse / family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 of market vendors to gender inclusive financial and social services including digital services, access to savings, credit, payments, micro insurance, and other services/livelihood protection actions</w:t>
            </w:r>
          </w:p>
        </w:tc>
        <w:tc>
          <w:tcPr>
            <w:tcW w:w="5000" w:type="dxa"/>
          </w:tcPr>
          <w:p>
            <w:pPr/>
            <w:r>
              <w:rPr>
                <w:b/>
                <w:rFonts w:ascii="[FontFamily: Name=Calibri]" w:hAnsi="[FontFamily: Name=Calibri]" w:cs="[FontFamily: Name=Calibri]" w:eastAsia="[FontFamily: Name=Calibri]"/>
                <w:sz w:val="18"/>
                <w:szCs w:val="18"/>
              </w:rPr>
              <w:t xml:space="preserve">Indicator 2.4.2A:  </w:t>
            </w:r>
            <w:r>
              <w:rPr>
                <w:rFonts w:ascii="[FontFamily: Name=Calibri]" w:hAnsi="[FontFamily: Name=Calibri]" w:cs="[FontFamily: Name=Calibri]" w:eastAsia="[FontFamily: Name=Calibri]"/>
                <w:sz w:val="18"/>
                <w:szCs w:val="18"/>
              </w:rPr>
              <w:t>Number of market vendors  that access improved and accessible financial  and/or livelihood protection products for small and micro-businesses.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business is improved and more resilient as a result of an increase in business and financial skills (savings and recording) and access to digital literacy and online platforms</w:t>
            </w:r>
          </w:p>
        </w:tc>
        <w:tc>
          <w:tcPr>
            <w:tcW w:w="5000" w:type="dxa"/>
          </w:tcPr>
          <w:p>
            <w:pPr/>
            <w:r>
              <w:rPr>
                <w:b/>
                <w:rFonts w:ascii="[FontFamily: Name=Calibri]" w:hAnsi="[FontFamily: Name=Calibri]" w:cs="[FontFamily: Name=Calibri]" w:eastAsia="[FontFamily: Name=Calibri]"/>
                <w:sz w:val="18"/>
                <w:szCs w:val="18"/>
              </w:rPr>
              <w:t xml:space="preserve">Indicator 2.4.3A:  </w:t>
            </w:r>
            <w:r>
              <w:rPr>
                <w:rFonts w:ascii="[FontFamily: Name=Calibri]" w:hAnsi="[FontFamily: Name=Calibri]" w:cs="[FontFamily: Name=Calibri]" w:eastAsia="[FontFamily: Name=Calibri]"/>
                <w:sz w:val="18"/>
                <w:szCs w:val="18"/>
              </w:rPr>
              <w:t>Number of market vendors reached with financial and/or business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2.4.3B:  </w:t>
            </w:r>
            <w:r>
              <w:rPr>
                <w:rFonts w:ascii="[FontFamily: Name=Calibri]" w:hAnsi="[FontFamily: Name=Calibri]" w:cs="[FontFamily: Name=Calibri]" w:eastAsia="[FontFamily: Name=Calibri]"/>
                <w:sz w:val="18"/>
                <w:szCs w:val="18"/>
              </w:rPr>
              <w:t>Number of market vendors accessing digital literacy and online platforms.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 in economic and sustainable livelihoods through improved resilient and climate smart agricultural practices and value adding</w:t>
            </w:r>
          </w:p>
        </w:tc>
        <w:tc>
          <w:tcPr>
            <w:tcW w:w="5000" w:type="dxa"/>
          </w:tcPr>
          <w:p>
            <w:pPr/>
            <w:r>
              <w:rPr>
                <w:b/>
                <w:rFonts w:ascii="[FontFamily: Name=Calibri]" w:hAnsi="[FontFamily: Name=Calibri]" w:cs="[FontFamily: Name=Calibri]" w:eastAsia="[FontFamily: Name=Calibri]"/>
                <w:sz w:val="18"/>
                <w:szCs w:val="18"/>
              </w:rPr>
              <w:t xml:space="preserve">Indicator 2.4.4A:  </w:t>
            </w:r>
            <w:r>
              <w:rPr>
                <w:rFonts w:ascii="[FontFamily: Name=Calibri]" w:hAnsi="[FontFamily: Name=Calibri]" w:cs="[FontFamily: Name=Calibri]" w:eastAsia="[FontFamily: Name=Calibri]"/>
                <w:sz w:val="18"/>
                <w:szCs w:val="18"/>
              </w:rPr>
              <w:t>Number of market vendors engaging in value-adding activities / improved agricultural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social security for market vendors through improved access to health and safety and other social services*</w:t>
            </w:r>
          </w:p>
        </w:tc>
        <w:tc>
          <w:tcPr>
            <w:tcW w:w="5000" w:type="dxa"/>
          </w:tcPr>
          <w:p>
            <w:pPr/>
            <w:r>
              <w:rPr>
                <w:b/>
                <w:rFonts w:ascii="[FontFamily: Name=Calibri]" w:hAnsi="[FontFamily: Name=Calibri]" w:cs="[FontFamily: Name=Calibri]" w:eastAsia="[FontFamily: Name=Calibri]"/>
                <w:sz w:val="18"/>
                <w:szCs w:val="18"/>
              </w:rPr>
              <w:t xml:space="preserve">Indicator 2.4.5A:  </w:t>
            </w:r>
            <w:r>
              <w:rPr>
                <w:rFonts w:ascii="[FontFamily: Name=Calibri]" w:hAnsi="[FontFamily: Name=Calibri]" w:cs="[FontFamily: Name=Calibri]" w:eastAsia="[FontFamily: Name=Calibri]"/>
                <w:sz w:val="18"/>
                <w:szCs w:val="18"/>
              </w:rPr>
              <w:t>Number of market vendors who report increased access to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unique numbers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governments, market management and other decision makers are gender-responsive, effective and accountable to women market vendor.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2.5A:  </w:t>
            </w:r>
            <w:r>
              <w:rPr>
                <w:rFonts w:ascii="[FontFamily: Name=Calibri]" w:hAnsi="[FontFamily: Name=Calibri]" w:cs="[FontFamily: Name=Calibri]" w:eastAsia="[FontFamily: Name=Calibri]"/>
                <w:sz w:val="18"/>
                <w:szCs w:val="18"/>
              </w:rPr>
              <w:t>Number of local level governments (councils) where there is evidence of increased gender mainstreaming in local decision-making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(e.g. amendments to bylaws, ordinances,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and commitment of local government and market management to draft, adopt and implement gender-responsive frameworks and engage in gender-responsive and resilient approaches to management and operations</w:t>
            </w:r>
          </w:p>
        </w:tc>
        <w:tc>
          <w:tcPr>
            <w:tcW w:w="5000" w:type="dxa"/>
          </w:tcPr>
          <w:p>
            <w:pPr/>
            <w:r>
              <w:rPr>
                <w:b/>
                <w:rFonts w:ascii="[FontFamily: Name=Calibri]" w:hAnsi="[FontFamily: Name=Calibri]" w:cs="[FontFamily: Name=Calibri]" w:eastAsia="[FontFamily: Name=Calibri]"/>
                <w:sz w:val="18"/>
                <w:szCs w:val="18"/>
              </w:rPr>
              <w:t xml:space="preserve">Indicator 2.5.1A:  </w:t>
            </w:r>
            <w:r>
              <w:rPr>
                <w:rFonts w:ascii="[FontFamily: Name=Calibri]" w:hAnsi="[FontFamily: Name=Calibri]" w:cs="[FontFamily: Name=Calibri]" w:eastAsia="[FontFamily: Name=Calibri]"/>
                <w:sz w:val="18"/>
                <w:szCs w:val="18"/>
              </w:rPr>
              <w:t>Number of gender-responsive frameworks with that have been drafted and adopted by local government and market management (including gender-responsive market by-laws, policies, plans and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positive engagement and communications between MVAs, local governments, market management, and other decision-makers</w:t>
            </w:r>
          </w:p>
        </w:tc>
        <w:tc>
          <w:tcPr>
            <w:tcW w:w="5000" w:type="dxa"/>
          </w:tcPr>
          <w:p>
            <w:pPr/>
            <w:r>
              <w:rPr>
                <w:b/>
                <w:rFonts w:ascii="[FontFamily: Name=Calibri]" w:hAnsi="[FontFamily: Name=Calibri]" w:cs="[FontFamily: Name=Calibri]" w:eastAsia="[FontFamily: Name=Calibri]"/>
                <w:sz w:val="18"/>
                <w:szCs w:val="18"/>
              </w:rPr>
              <w:t xml:space="preserve">Indicator 2.5.2A:  </w:t>
            </w:r>
            <w:r>
              <w:rPr>
                <w:rFonts w:ascii="[FontFamily: Name=Calibri]" w:hAnsi="[FontFamily: Name=Calibri]" w:cs="[FontFamily: Name=Calibri]" w:eastAsia="[FontFamily: Name=Calibri]"/>
                <w:sz w:val="18"/>
                <w:szCs w:val="18"/>
              </w:rPr>
              <w:t>Number of marketplaces with mechanisms in place aimed at improving communications between market management, MVAs and WMV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Physical market structures and operating systems are improved to make markets more gender-responsive, safer, more accessible and sustainable, resilient to disaster risks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2.6A:  </w:t>
            </w:r>
            <w:r>
              <w:rPr>
                <w:rFonts w:ascii="[FontFamily: Name=Calibri]" w:hAnsi="[FontFamily: Name=Calibri]" w:cs="[FontFamily: Name=Calibri]" w:eastAsia="[FontFamily: Name=Calibri]"/>
                <w:sz w:val="18"/>
                <w:szCs w:val="18"/>
              </w:rPr>
              <w:t>Number of marketplaces with improved, gender-responsive physical environments that better meets the health, safety, universal access, and convenience needs of WMV.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4.1: Marketplace environment is more resilient to disaster risks, including climate change and pandemics</w:t>
            </w:r>
          </w:p>
        </w:tc>
        <w:tc>
          <w:tcPr>
            <w:tcW w:w="5000" w:type="dxa"/>
          </w:tcPr>
          <w:p>
            <w:pPr/>
            <w:r>
              <w:rPr>
                <w:b/>
                <w:rFonts w:ascii="[FontFamily: Name=Calibri]" w:hAnsi="[FontFamily: Name=Calibri]" w:cs="[FontFamily: Name=Calibri]" w:eastAsia="[FontFamily: Name=Calibri]"/>
                <w:sz w:val="18"/>
                <w:szCs w:val="18"/>
              </w:rPr>
              <w:t xml:space="preserve">Indicator 2.6.1A:  </w:t>
            </w:r>
            <w:r>
              <w:rPr>
                <w:rFonts w:ascii="[FontFamily: Name=Calibri]" w:hAnsi="[FontFamily: Name=Calibri]" w:cs="[FontFamily: Name=Calibri]" w:eastAsia="[FontFamily: Name=Calibri]"/>
                <w:sz w:val="18"/>
                <w:szCs w:val="18"/>
              </w:rPr>
              <w:t>Number of marketplaces that have agreed plans in place to prepare and respond to disasters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199,296.00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199,296.00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Marketplace environments are improved by becoming more safe, resilient secure and accessible</w:t>
            </w:r>
          </w:p>
        </w:tc>
        <w:tc>
          <w:tcPr>
            <w:tcW w:w="5000" w:type="dxa"/>
          </w:tcPr>
          <w:p>
            <w:pPr/>
            <w:r>
              <w:rPr>
                <w:b/>
                <w:rFonts w:ascii="[FontFamily: Name=Calibri]" w:hAnsi="[FontFamily: Name=Calibri]" w:cs="[FontFamily: Name=Calibri]" w:eastAsia="[FontFamily: Name=Calibri]"/>
                <w:sz w:val="18"/>
                <w:szCs w:val="18"/>
              </w:rPr>
              <w:t xml:space="preserve">Indicator 2.6.2A:  </w:t>
            </w:r>
            <w:r>
              <w:rPr>
                <w:rFonts w:ascii="[FontFamily: Name=Calibri]" w:hAnsi="[FontFamily: Name=Calibri]" w:cs="[FontFamily: Name=Calibri]" w:eastAsia="[FontFamily: Name=Calibri]"/>
                <w:sz w:val="18"/>
                <w:szCs w:val="18"/>
              </w:rPr>
              <w:t>Number of marketplaces that have improved working conditions and environments including improved safety, security, health and hygiene, and disability access.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53,394.00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53,394.00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Programme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Project Management &amp; Operations (including M&amp;E)</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2.5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2.6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252,690.00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252,690.00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2.7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780,855.00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780,855.00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6cff46d9f0d543e3" Type="http://schemas.openxmlformats.org/officeDocument/2006/relationships/footer" Target="/word/footer3.xml"/><Relationship Id="rId3" Type="http://schemas.openxmlformats.org/officeDocument/2006/relationships/customXml" Target="../customXml/item3.xml"/><Relationship Id="rId2" Type="http://schemas.openxmlformats.org/officeDocument/2006/relationships/customXml" Target="../customXml/item2.xml"/><Relationship Id="Ra35d0aa0a3614399" Type="http://schemas.openxmlformats.org/officeDocument/2006/relationships/styles" Target="/word/styles.xml"/><Relationship Id="R74bf660e6f214a08" Type="http://schemas.openxmlformats.org/officeDocument/2006/relationships/footer" Target="/word/footer1.xml"/><Relationship Id="rId1" Type="http://schemas.openxmlformats.org/officeDocument/2006/relationships/customXml" Target="../customXml/item1.xml"/><Relationship Id="Re6f84525264d4e71" Type="http://schemas.openxmlformats.org/officeDocument/2006/relationships/footer" Target="/word/footer2.xml"/><Relationship Id="Rad33e7642ede4bf1" Type="http://schemas.openxmlformats.org/officeDocument/2006/relationships/numbering" Target="/word/numbering.xml"/><Relationship Id="R9f694e532bea43b8" Type="http://schemas.openxmlformats.org/officeDocument/2006/relationships/settings" Target="/word/settings.xml"/><Relationship Id="R6d45c8f2a6814490" Type="http://schemas.openxmlformats.org/officeDocument/2006/relationships/image" Target="/word/media/031642b7-aedd-4593-87dc-4edfcff68df1.jpeg"/><Relationship Id="R75149c5d4d59415b" Type="http://schemas.openxmlformats.org/officeDocument/2006/relationships/image" Target="/word/media/bd7d762e-50ab-44d3-8c2b-530aaf6eb3bc.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90C231B6-612B-40B8-AB58-FC2A65C0287C}"/>
</file>

<file path=customXml/itemProps2.xml><?xml version="1.0" encoding="utf-8"?>
<ds:datastoreItem xmlns:ds="http://schemas.openxmlformats.org/officeDocument/2006/customXml" ds:itemID="{AFFD2C65-E29A-409F-B73F-5E66459E7A25}"/>
</file>

<file path=customXml/itemProps3.xml><?xml version="1.0" encoding="utf-8"?>
<ds:datastoreItem xmlns:ds="http://schemas.openxmlformats.org/officeDocument/2006/customXml" ds:itemID="{9859501D-EE11-4C41-8F2D-C8F6435EB46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